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jc w:val="center"/>
        <w:rPr>
          <w:rFonts w:hAnsi="宋体" w:cs="宋体"/>
          <w:bCs/>
          <w:sz w:val="30"/>
          <w:szCs w:val="30"/>
        </w:rPr>
      </w:pPr>
    </w:p>
    <w:p>
      <w:pPr>
        <w:pStyle w:val="29"/>
        <w:rPr>
          <w:rFonts w:hAnsi="宋体" w:cs="宋体"/>
          <w:bCs/>
          <w:sz w:val="30"/>
          <w:szCs w:val="30"/>
        </w:rPr>
      </w:pPr>
    </w:p>
    <w:p>
      <w:pPr>
        <w:pStyle w:val="29"/>
        <w:rPr>
          <w:rFonts w:hAnsi="宋体" w:cs="宋体"/>
          <w:bCs/>
          <w:sz w:val="30"/>
          <w:szCs w:val="30"/>
        </w:rPr>
      </w:pPr>
    </w:p>
    <w:p>
      <w:pPr>
        <w:spacing w:line="640" w:lineRule="exact"/>
        <w:jc w:val="both"/>
        <w:rPr>
          <w:rFonts w:ascii="方正小标宋简体" w:hAnsi="微软雅黑" w:eastAsia="方正小标宋简体"/>
          <w:sz w:val="36"/>
          <w:szCs w:val="36"/>
          <w:u w:val="single"/>
        </w:rPr>
      </w:pPr>
    </w:p>
    <w:p>
      <w:pPr>
        <w:spacing w:line="640" w:lineRule="exact"/>
        <w:jc w:val="center"/>
        <w:rPr>
          <w:rFonts w:hint="eastAsia"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napToGrid w:val="0"/>
        <w:spacing w:line="360" w:lineRule="auto"/>
        <w:ind w:firstLine="300" w:firstLineChars="100"/>
        <w:jc w:val="center"/>
        <w:rPr>
          <w:rFonts w:hint="eastAsia" w:hAnsi="宋体" w:cs="宋体"/>
          <w:bCs/>
          <w:sz w:val="30"/>
          <w:szCs w:val="30"/>
        </w:rPr>
      </w:pPr>
    </w:p>
    <w:p>
      <w:pPr>
        <w:snapToGrid w:val="0"/>
        <w:spacing w:line="360" w:lineRule="auto"/>
        <w:ind w:firstLine="300" w:firstLineChars="100"/>
        <w:jc w:val="center"/>
        <w:rPr>
          <w:rFonts w:hint="default" w:hAnsi="宋体" w:eastAsia="宋体" w:cs="宋体"/>
          <w:bCs/>
          <w:sz w:val="30"/>
          <w:szCs w:val="30"/>
          <w:lang w:val="en-US" w:eastAsia="zh-CN"/>
        </w:rPr>
      </w:pPr>
      <w:r>
        <w:rPr>
          <w:rFonts w:hint="eastAsia" w:hAnsi="宋体" w:cs="宋体"/>
          <w:bCs/>
          <w:sz w:val="30"/>
          <w:szCs w:val="30"/>
        </w:rPr>
        <w:t>采购编号：</w:t>
      </w:r>
      <w:r>
        <w:rPr>
          <w:rFonts w:hint="eastAsia" w:hAnsi="宋体" w:cs="宋体"/>
          <w:bCs/>
          <w:sz w:val="30"/>
          <w:szCs w:val="30"/>
          <w:lang w:val="en-US" w:eastAsia="zh-CN"/>
        </w:rPr>
        <w:t>CTZY-CG-2023007</w:t>
      </w:r>
    </w:p>
    <w:p>
      <w:pPr>
        <w:pStyle w:val="27"/>
      </w:pPr>
    </w:p>
    <w:p>
      <w:pPr>
        <w:spacing w:line="640" w:lineRule="exact"/>
        <w:ind w:firstLine="2240" w:firstLineChars="700"/>
        <w:rPr>
          <w:rFonts w:ascii="宋体" w:hAnsi="宋体" w:eastAsia="宋体"/>
          <w:sz w:val="32"/>
          <w:szCs w:val="32"/>
        </w:rPr>
      </w:pPr>
    </w:p>
    <w:p>
      <w:pPr>
        <w:snapToGrid w:val="0"/>
        <w:spacing w:line="331" w:lineRule="auto"/>
        <w:jc w:val="center"/>
        <w:rPr>
          <w:rFonts w:hint="eastAsia" w:ascii="方正小标宋简体" w:hAnsi="宋体" w:eastAsia="方正小标宋简体" w:cs="宋体"/>
          <w:b/>
          <w:kern w:val="0"/>
          <w:sz w:val="52"/>
          <w:szCs w:val="52"/>
          <w:lang w:val="en-US" w:eastAsia="zh-CN"/>
        </w:rPr>
      </w:pPr>
      <w:r>
        <w:rPr>
          <w:rFonts w:hint="eastAsia" w:ascii="方正小标宋简体" w:hAnsi="宋体" w:eastAsia="方正小标宋简体" w:cs="宋体"/>
          <w:b/>
          <w:kern w:val="0"/>
          <w:sz w:val="52"/>
          <w:szCs w:val="52"/>
          <w:lang w:val="en-US" w:eastAsia="zh-CN"/>
        </w:rPr>
        <w:t>招</w:t>
      </w:r>
    </w:p>
    <w:p>
      <w:pPr>
        <w:snapToGrid w:val="0"/>
        <w:spacing w:line="331" w:lineRule="auto"/>
        <w:jc w:val="center"/>
        <w:rPr>
          <w:rFonts w:hint="eastAsia" w:ascii="方正小标宋简体" w:hAnsi="宋体" w:eastAsia="方正小标宋简体" w:cs="宋体"/>
          <w:b/>
          <w:kern w:val="0"/>
          <w:sz w:val="52"/>
          <w:szCs w:val="52"/>
          <w:lang w:val="en-US" w:eastAsia="zh-CN"/>
        </w:rPr>
      </w:pPr>
      <w:r>
        <w:rPr>
          <w:rFonts w:hint="eastAsia" w:ascii="方正小标宋简体" w:hAnsi="宋体" w:eastAsia="方正小标宋简体" w:cs="宋体"/>
          <w:b/>
          <w:kern w:val="0"/>
          <w:sz w:val="52"/>
          <w:szCs w:val="52"/>
          <w:lang w:val="en-US" w:eastAsia="zh-CN"/>
        </w:rPr>
        <w:t>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2023</w:t>
      </w:r>
      <w:r>
        <w:rPr>
          <w:rFonts w:hint="eastAsia" w:ascii="宋体" w:hAnsi="宋体" w:eastAsia="宋体" w:cs="宋体"/>
          <w:bCs/>
          <w:sz w:val="32"/>
          <w:szCs w:val="32"/>
          <w:lang w:val="zh-CN"/>
        </w:rPr>
        <w:t>年</w:t>
      </w:r>
      <w:r>
        <w:rPr>
          <w:rFonts w:hint="eastAsia" w:hAnsi="宋体" w:cs="宋体"/>
          <w:bCs/>
          <w:sz w:val="32"/>
          <w:szCs w:val="32"/>
          <w:lang w:val="en-US" w:eastAsia="zh-CN"/>
        </w:rPr>
        <w:t>7</w:t>
      </w:r>
      <w:r>
        <w:rPr>
          <w:rFonts w:hint="eastAsia" w:ascii="宋体" w:hAnsi="宋体" w:eastAsia="宋体" w:cs="宋体"/>
          <w:bCs/>
          <w:sz w:val="32"/>
          <w:szCs w:val="32"/>
          <w:lang w:val="en-US" w:eastAsia="zh-CN"/>
        </w:rPr>
        <w:t xml:space="preserve"> </w:t>
      </w:r>
      <w:r>
        <w:rPr>
          <w:rFonts w:hint="eastAsia" w:ascii="宋体" w:hAnsi="宋体" w:eastAsia="宋体" w:cs="宋体"/>
          <w:bCs/>
          <w:sz w:val="32"/>
          <w:szCs w:val="32"/>
          <w:lang w:val="zh-CN"/>
        </w:rPr>
        <w:t>月</w:t>
      </w:r>
    </w:p>
    <w:p>
      <w:pPr>
        <w:pStyle w:val="27"/>
        <w:rPr>
          <w:lang w:val="zh-CN"/>
        </w:rPr>
      </w:pPr>
      <w:r>
        <w:rPr>
          <w:lang w:val="zh-CN"/>
        </w:rPr>
        <w:br w:type="page"/>
      </w:r>
    </w:p>
    <w:p>
      <w:pPr>
        <w:pStyle w:val="29"/>
        <w:rPr>
          <w:rFonts w:hAnsi="宋体" w:cs="宋体"/>
          <w:bCs/>
          <w:sz w:val="30"/>
          <w:szCs w:val="30"/>
        </w:rPr>
      </w:pPr>
    </w:p>
    <w:p>
      <w:pPr>
        <w:pStyle w:val="4"/>
        <w:snapToGrid w:val="0"/>
        <w:spacing w:before="0" w:after="0" w:line="360" w:lineRule="auto"/>
        <w:jc w:val="center"/>
        <w:rPr>
          <w:rStyle w:val="25"/>
          <w:rFonts w:ascii="宋体" w:hAnsi="宋体" w:cs="宋体"/>
          <w:color w:val="auto"/>
          <w:kern w:val="2"/>
          <w:sz w:val="44"/>
          <w:szCs w:val="44"/>
          <w:u w:val="none"/>
        </w:rPr>
      </w:pPr>
      <w:r>
        <w:rPr>
          <w:rStyle w:val="25"/>
          <w:rFonts w:hint="eastAsia" w:ascii="宋体" w:hAnsi="宋体" w:cs="宋体"/>
          <w:color w:val="auto"/>
          <w:kern w:val="2"/>
          <w:sz w:val="44"/>
          <w:szCs w:val="44"/>
          <w:u w:val="none"/>
        </w:rPr>
        <w:t>目    录</w:t>
      </w:r>
    </w:p>
    <w:p/>
    <w:p>
      <w:pPr>
        <w:pStyle w:val="14"/>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4"/>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2</w:t>
      </w:r>
    </w:p>
    <w:p>
      <w:pPr>
        <w:pStyle w:val="14"/>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8</w:t>
      </w:r>
    </w:p>
    <w:p>
      <w:pPr>
        <w:pStyle w:val="14"/>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lang w:val="en-US" w:eastAsia="zh-CN"/>
        </w:rPr>
        <w:t>1</w:t>
      </w:r>
      <w:r>
        <w:rPr>
          <w:rFonts w:hint="eastAsia" w:hAnsi="宋体" w:cs="宋体"/>
          <w:sz w:val="28"/>
          <w:szCs w:val="28"/>
        </w:rPr>
        <w:fldChar w:fldCharType="end"/>
      </w:r>
      <w:r>
        <w:rPr>
          <w:rFonts w:hint="eastAsia" w:hAnsi="宋体" w:cs="宋体"/>
          <w:sz w:val="28"/>
          <w:szCs w:val="28"/>
          <w:lang w:val="en-US" w:eastAsia="zh-CN"/>
        </w:rPr>
        <w:t>4</w:t>
      </w:r>
    </w:p>
    <w:p>
      <w:pPr>
        <w:pStyle w:val="14"/>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0" w:name="_Hlt360036319"/>
      <w:bookmarkStart w:id="1" w:name="_Hlt360036320"/>
      <w:r>
        <w:rPr>
          <w:rFonts w:hint="eastAsia" w:hAnsi="宋体" w:cs="宋体"/>
          <w:sz w:val="28"/>
          <w:szCs w:val="28"/>
        </w:rPr>
        <w:tab/>
      </w:r>
      <w:bookmarkEnd w:id="0"/>
      <w:bookmarkEnd w:id="1"/>
      <w:r>
        <w:rPr>
          <w:rFonts w:hint="eastAsia" w:hAnsi="宋体" w:cs="宋体"/>
          <w:sz w:val="28"/>
          <w:szCs w:val="28"/>
        </w:rPr>
        <w:fldChar w:fldCharType="end"/>
      </w:r>
      <w:r>
        <w:rPr>
          <w:rFonts w:hint="eastAsia" w:hAnsi="宋体" w:cs="宋体"/>
          <w:sz w:val="28"/>
          <w:szCs w:val="28"/>
          <w:lang w:val="en-US" w:eastAsia="zh-CN"/>
        </w:rPr>
        <w:t>20</w:t>
      </w:r>
    </w:p>
    <w:p>
      <w:pPr>
        <w:pStyle w:val="14"/>
        <w:tabs>
          <w:tab w:val="right" w:leader="dot" w:pos="9175"/>
        </w:tabs>
        <w:snapToGrid w:val="0"/>
        <w:spacing w:line="480" w:lineRule="auto"/>
        <w:ind w:firstLine="792" w:firstLineChars="233"/>
        <w:rPr>
          <w:rFonts w:hint="default" w:hAnsi="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24</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854"/>
        </w:tabs>
        <w:bidi w:val="0"/>
        <w:jc w:val="left"/>
        <w:rPr>
          <w:rFonts w:hint="default"/>
          <w:lang w:val="en-US" w:eastAsia="zh-CN"/>
        </w:rPr>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lang w:val="en-US" w:eastAsia="zh-CN"/>
        </w:rPr>
        <w:tab/>
      </w:r>
    </w:p>
    <w:p>
      <w:pPr>
        <w:pStyle w:val="3"/>
        <w:snapToGrid w:val="0"/>
        <w:spacing w:before="0" w:after="0" w:line="360" w:lineRule="auto"/>
        <w:jc w:val="center"/>
        <w:rPr>
          <w:rFonts w:hAnsi="宋体" w:cs="宋体"/>
          <w:sz w:val="30"/>
          <w:szCs w:val="30"/>
        </w:rPr>
      </w:pPr>
      <w:bookmarkStart w:id="2" w:name="_Toc358883241"/>
      <w:r>
        <w:rPr>
          <w:rFonts w:hint="eastAsia" w:hAnsi="宋体" w:cs="宋体"/>
          <w:sz w:val="30"/>
          <w:szCs w:val="30"/>
        </w:rPr>
        <w:t>第一章  投标邀请</w:t>
      </w:r>
      <w:bookmarkEnd w:id="2"/>
    </w:p>
    <w:p>
      <w:pPr>
        <w:snapToGrid w:val="0"/>
        <w:spacing w:line="360" w:lineRule="auto"/>
        <w:ind w:firstLine="480" w:firstLineChars="200"/>
        <w:jc w:val="both"/>
        <w:rPr>
          <w:rFonts w:ascii="仿宋_GB2312" w:hAnsi="宋体" w:eastAsia="仿宋_GB2312"/>
          <w:sz w:val="28"/>
        </w:rPr>
      </w:pPr>
      <w:r>
        <w:rPr>
          <w:rFonts w:hint="eastAsia" w:hAnsi="宋体" w:cs="宋体"/>
          <w:bCs/>
          <w:sz w:val="24"/>
          <w:szCs w:val="24"/>
          <w:u w:val="none"/>
        </w:rPr>
        <w:t xml:space="preserve"> </w:t>
      </w:r>
      <w:r>
        <w:rPr>
          <w:rFonts w:hint="eastAsia" w:hAnsi="宋体" w:cs="宋体"/>
          <w:bCs/>
          <w:sz w:val="24"/>
          <w:szCs w:val="24"/>
          <w:u w:val="none"/>
          <w:lang w:eastAsia="zh-CN"/>
        </w:rPr>
        <w:t>四川铁道职业学院</w:t>
      </w:r>
      <w:r>
        <w:rPr>
          <w:rFonts w:hint="eastAsia" w:hAnsi="宋体" w:cs="宋体"/>
          <w:bCs/>
          <w:sz w:val="24"/>
          <w:szCs w:val="24"/>
          <w:u w:val="none"/>
        </w:rPr>
        <w:t>就内江校区2023年职工体检</w:t>
      </w:r>
      <w:r>
        <w:rPr>
          <w:rFonts w:hint="eastAsia" w:hAnsi="宋体" w:cs="宋体"/>
          <w:bCs/>
          <w:sz w:val="24"/>
          <w:szCs w:val="24"/>
          <w:u w:val="none"/>
          <w:lang w:eastAsia="zh-CN"/>
        </w:rPr>
        <w:t>服务</w:t>
      </w:r>
      <w:r>
        <w:rPr>
          <w:rFonts w:hint="eastAsia" w:hAnsi="宋体" w:cs="宋体"/>
          <w:bCs/>
          <w:sz w:val="24"/>
          <w:szCs w:val="24"/>
          <w:u w:val="none"/>
          <w:lang w:val="en-US" w:eastAsia="zh-CN"/>
        </w:rPr>
        <w:t>项目</w:t>
      </w:r>
      <w:r>
        <w:rPr>
          <w:rFonts w:hint="eastAsia" w:hAnsi="宋体" w:cs="宋体"/>
          <w:bCs/>
          <w:sz w:val="24"/>
          <w:szCs w:val="24"/>
        </w:rPr>
        <w:t>进行公开招标，兹邀请符合本次招标要求的供应商参加投标</w:t>
      </w:r>
      <w:r>
        <w:rPr>
          <w:rFonts w:hint="eastAsia" w:hAnsi="宋体" w:cs="宋体"/>
          <w:sz w:val="24"/>
          <w:szCs w:val="24"/>
        </w:rPr>
        <w:t>。</w:t>
      </w:r>
    </w:p>
    <w:p>
      <w:pPr>
        <w:pStyle w:val="8"/>
        <w:numPr>
          <w:ilvl w:val="0"/>
          <w:numId w:val="2"/>
        </w:numPr>
        <w:snapToGrid w:val="0"/>
        <w:spacing w:line="360" w:lineRule="auto"/>
        <w:ind w:firstLine="441" w:firstLineChars="183"/>
        <w:rPr>
          <w:rFonts w:hint="eastAsia" w:ascii="宋体" w:hAnsi="宋体" w:cs="宋体"/>
          <w:b/>
          <w:sz w:val="24"/>
          <w:szCs w:val="24"/>
          <w:u w:val="none"/>
        </w:rPr>
      </w:pPr>
      <w:r>
        <w:rPr>
          <w:rFonts w:hint="eastAsia" w:ascii="宋体" w:hAnsi="宋体" w:cs="宋体"/>
          <w:b/>
          <w:sz w:val="24"/>
          <w:szCs w:val="24"/>
        </w:rPr>
        <w:t>招标编号：</w:t>
      </w:r>
      <w:r>
        <w:rPr>
          <w:rFonts w:hint="eastAsia" w:ascii="宋体" w:hAnsi="宋体" w:cs="宋体"/>
          <w:b/>
          <w:sz w:val="24"/>
          <w:szCs w:val="24"/>
          <w:u w:val="none"/>
          <w:lang w:val="en-US" w:eastAsia="zh-CN"/>
        </w:rPr>
        <w:t>C</w:t>
      </w:r>
      <w:r>
        <w:rPr>
          <w:rFonts w:hint="eastAsia" w:hAnsi="宋体" w:cs="宋体"/>
          <w:bCs/>
          <w:sz w:val="24"/>
          <w:szCs w:val="24"/>
          <w:u w:val="none"/>
          <w:lang w:val="en-US" w:eastAsia="zh-CN"/>
        </w:rPr>
        <w:t>TZY--CG--2023007</w:t>
      </w:r>
    </w:p>
    <w:p>
      <w:pPr>
        <w:pStyle w:val="8"/>
        <w:numPr>
          <w:ilvl w:val="0"/>
          <w:numId w:val="2"/>
        </w:numPr>
        <w:snapToGrid w:val="0"/>
        <w:spacing w:line="360" w:lineRule="auto"/>
        <w:ind w:firstLine="441" w:firstLineChars="183"/>
        <w:rPr>
          <w:rFonts w:ascii="宋体" w:hAnsi="宋体" w:cs="宋体"/>
          <w:b w:val="0"/>
          <w:bCs/>
          <w:sz w:val="24"/>
          <w:szCs w:val="24"/>
          <w:lang w:val="zh-CN"/>
        </w:rPr>
      </w:pPr>
      <w:r>
        <w:rPr>
          <w:rFonts w:hint="eastAsia" w:ascii="宋体" w:hAnsi="宋体" w:cs="宋体"/>
          <w:b/>
          <w:sz w:val="24"/>
          <w:szCs w:val="24"/>
        </w:rPr>
        <w:t>招标项目：</w:t>
      </w:r>
      <w:r>
        <w:rPr>
          <w:rFonts w:hint="eastAsia" w:hAnsi="宋体" w:cs="宋体"/>
          <w:bCs/>
          <w:sz w:val="24"/>
          <w:szCs w:val="24"/>
          <w:u w:val="none"/>
        </w:rPr>
        <w:t>内江校区2023年职工体检</w:t>
      </w:r>
      <w:r>
        <w:rPr>
          <w:rFonts w:hint="eastAsia" w:hAnsi="宋体" w:cs="宋体"/>
          <w:bCs/>
          <w:sz w:val="24"/>
          <w:szCs w:val="24"/>
          <w:u w:val="none"/>
          <w:lang w:eastAsia="zh-CN"/>
        </w:rPr>
        <w:t>服务</w:t>
      </w:r>
    </w:p>
    <w:p>
      <w:pPr>
        <w:pStyle w:val="8"/>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8"/>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8"/>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1.具有独立承担民事责任的能力；</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2.具有良好的商业信誉和健全的财务会计制度；</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3.具有履行合同所必须的设备和专业技术能力；</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4.具有依法缴纳税收和社会保障资金的良好记录；</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5.参加本次采购活动前三年内，在经营活动中没有重大违法记录；</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6.法律、行政法规规定的其他条件；</w:t>
      </w:r>
    </w:p>
    <w:p>
      <w:pPr>
        <w:tabs>
          <w:tab w:val="left" w:pos="7665"/>
        </w:tabs>
        <w:spacing w:line="440" w:lineRule="exact"/>
        <w:ind w:firstLine="600" w:firstLineChars="250"/>
        <w:rPr>
          <w:rFonts w:hAnsi="宋体" w:cs="宋体"/>
          <w:sz w:val="24"/>
          <w:szCs w:val="24"/>
        </w:rPr>
      </w:pPr>
      <w:r>
        <w:rPr>
          <w:rFonts w:hint="eastAsia" w:hAnsi="宋体" w:cs="宋体"/>
          <w:kern w:val="0"/>
          <w:sz w:val="24"/>
          <w:szCs w:val="22"/>
          <w:lang w:val="en-US" w:eastAsia="zh-CN"/>
        </w:rPr>
        <w:t>7</w:t>
      </w:r>
      <w:r>
        <w:rPr>
          <w:rFonts w:hint="eastAsia" w:ascii="宋体" w:hAnsi="宋体" w:cs="宋体"/>
          <w:kern w:val="0"/>
          <w:sz w:val="24"/>
          <w:szCs w:val="22"/>
        </w:rPr>
        <w:t>.本项目不接受联合体参与</w:t>
      </w:r>
      <w:r>
        <w:rPr>
          <w:rFonts w:hint="eastAsia" w:hAnsi="宋体" w:cs="宋体"/>
          <w:kern w:val="0"/>
          <w:sz w:val="24"/>
          <w:szCs w:val="22"/>
          <w:lang w:eastAsia="zh-CN"/>
        </w:rPr>
        <w:t>招标</w:t>
      </w:r>
      <w:r>
        <w:rPr>
          <w:rFonts w:hint="eastAsia" w:ascii="宋体" w:hAnsi="宋体" w:cs="宋体"/>
          <w:kern w:val="0"/>
          <w:sz w:val="24"/>
          <w:szCs w:val="22"/>
        </w:rPr>
        <w:t>。</w:t>
      </w:r>
    </w:p>
    <w:p>
      <w:pPr>
        <w:snapToGrid w:val="0"/>
        <w:spacing w:line="360" w:lineRule="auto"/>
        <w:ind w:firstLine="479" w:firstLineChars="199"/>
        <w:rPr>
          <w:rFonts w:hAnsi="宋体" w:cs="宋体"/>
          <w:sz w:val="24"/>
          <w:szCs w:val="24"/>
        </w:rPr>
      </w:pPr>
      <w:r>
        <w:rPr>
          <w:rFonts w:hint="eastAsia" w:hAnsi="宋体" w:cs="宋体"/>
          <w:b/>
          <w:sz w:val="24"/>
          <w:szCs w:val="24"/>
        </w:rPr>
        <w:t>六、投标截止时间和开标时间：</w:t>
      </w:r>
      <w:r>
        <w:rPr>
          <w:rFonts w:hint="eastAsia" w:hAnsi="宋体" w:cs="宋体"/>
          <w:b/>
          <w:sz w:val="24"/>
          <w:szCs w:val="24"/>
          <w:lang w:val="en-US" w:eastAsia="zh-CN"/>
        </w:rPr>
        <w:t xml:space="preserve">2023 </w:t>
      </w:r>
      <w:r>
        <w:rPr>
          <w:rFonts w:hint="eastAsia" w:hAnsi="宋体" w:cs="宋体"/>
          <w:bCs/>
          <w:sz w:val="24"/>
          <w:szCs w:val="24"/>
        </w:rPr>
        <w:t>年</w:t>
      </w:r>
      <w:r>
        <w:rPr>
          <w:rFonts w:hint="eastAsia" w:hAnsi="宋体" w:cs="宋体"/>
          <w:bCs/>
          <w:sz w:val="24"/>
          <w:szCs w:val="24"/>
          <w:lang w:val="en-US" w:eastAsia="zh-CN"/>
        </w:rPr>
        <w:t xml:space="preserve"> 7</w:t>
      </w:r>
      <w:r>
        <w:rPr>
          <w:rFonts w:hint="eastAsia" w:hAnsi="宋体" w:cs="宋体"/>
          <w:bCs/>
          <w:sz w:val="24"/>
          <w:szCs w:val="24"/>
        </w:rPr>
        <w:t>月</w:t>
      </w:r>
      <w:r>
        <w:rPr>
          <w:rFonts w:hint="eastAsia" w:hAnsi="宋体" w:cs="宋体"/>
          <w:bCs/>
          <w:sz w:val="24"/>
          <w:szCs w:val="24"/>
          <w:lang w:val="en-US" w:eastAsia="zh-CN"/>
        </w:rPr>
        <w:t xml:space="preserve"> 17 </w:t>
      </w:r>
      <w:r>
        <w:rPr>
          <w:rFonts w:hint="eastAsia" w:hAnsi="宋体" w:cs="宋体"/>
          <w:bCs/>
          <w:sz w:val="24"/>
          <w:szCs w:val="24"/>
        </w:rPr>
        <w:t>日</w:t>
      </w:r>
      <w:r>
        <w:rPr>
          <w:rFonts w:hint="eastAsia" w:hAnsi="宋体" w:cs="宋体"/>
          <w:bCs/>
          <w:sz w:val="24"/>
          <w:szCs w:val="24"/>
          <w:lang w:val="en-US" w:eastAsia="zh-CN"/>
        </w:rPr>
        <w:t xml:space="preserve"> 10:30  </w:t>
      </w:r>
      <w:r>
        <w:rPr>
          <w:rFonts w:hint="eastAsia" w:hAnsi="宋体" w:cs="宋体"/>
          <w:sz w:val="24"/>
          <w:szCs w:val="24"/>
        </w:rPr>
        <w:t>（北京时间）。</w:t>
      </w:r>
    </w:p>
    <w:p>
      <w:pPr>
        <w:pStyle w:val="8"/>
        <w:snapToGrid w:val="0"/>
        <w:spacing w:line="360" w:lineRule="auto"/>
        <w:ind w:firstLine="439" w:firstLineChars="183"/>
        <w:rPr>
          <w:rFonts w:hint="eastAsia" w:ascii="宋体" w:hAnsi="宋体" w:cs="宋体"/>
          <w:sz w:val="24"/>
          <w:szCs w:val="24"/>
        </w:rPr>
      </w:pPr>
      <w:r>
        <w:rPr>
          <w:rFonts w:hint="eastAsia" w:ascii="宋体" w:hAnsi="宋体" w:cs="宋体"/>
          <w:sz w:val="24"/>
          <w:szCs w:val="24"/>
        </w:rPr>
        <w:t>投标文件必须在投标截止时间前送达开标地点，并签到（签到地点：内江市市中区甜城大道300号四川铁道职业学院内江校区），若不签到的投标文件将被拒收，投标人自行承担一切后果。逾期送达或密封和标注不符合招标文件规定的投标文件恕不接受。本次招标不接受邮寄的投标文件。</w:t>
      </w:r>
    </w:p>
    <w:p>
      <w:pPr>
        <w:pStyle w:val="8"/>
        <w:snapToGrid w:val="0"/>
        <w:spacing w:line="360" w:lineRule="auto"/>
        <w:ind w:firstLine="482" w:firstLineChars="200"/>
        <w:rPr>
          <w:rFonts w:hint="default" w:ascii="宋体" w:hAnsi="宋体" w:eastAsia="宋体" w:cs="宋体"/>
          <w:sz w:val="24"/>
          <w:szCs w:val="24"/>
          <w:lang w:val="en-US" w:eastAsia="zh-CN"/>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：内江市市中区甜城大道300号四川铁道职业学院内江校区</w:t>
      </w:r>
    </w:p>
    <w:p>
      <w:pPr>
        <w:pStyle w:val="58"/>
        <w:snapToGrid w:val="0"/>
        <w:ind w:firstLine="479" w:firstLineChars="199"/>
        <w:rPr>
          <w:rFonts w:hAnsi="宋体" w:cs="宋体"/>
          <w:b/>
          <w:sz w:val="24"/>
          <w:szCs w:val="24"/>
        </w:rPr>
      </w:pPr>
      <w:r>
        <w:rPr>
          <w:rFonts w:hint="eastAsia" w:hAnsi="宋体" w:cs="宋体"/>
          <w:b/>
          <w:sz w:val="24"/>
          <w:szCs w:val="24"/>
        </w:rPr>
        <w:t>八、联系方式</w:t>
      </w:r>
    </w:p>
    <w:p>
      <w:pPr>
        <w:pStyle w:val="58"/>
        <w:snapToGrid w:val="0"/>
        <w:ind w:firstLine="950" w:firstLineChars="396"/>
        <w:rPr>
          <w:rFonts w:hint="eastAsia" w:hAnsi="宋体" w:eastAsia="宋体" w:cs="宋体"/>
          <w:snapToGrid w:val="0"/>
          <w:sz w:val="24"/>
          <w:lang w:eastAsia="zh-CN"/>
        </w:rPr>
      </w:pPr>
      <w:r>
        <w:rPr>
          <w:rFonts w:hint="eastAsia" w:hAnsi="宋体" w:cs="宋体"/>
          <w:snapToGrid w:val="0"/>
          <w:sz w:val="24"/>
        </w:rPr>
        <w:t>采购人：四川铁道职业学院</w:t>
      </w:r>
      <w:r>
        <w:rPr>
          <w:rFonts w:hint="eastAsia" w:hAnsi="宋体" w:cs="宋体"/>
          <w:snapToGrid w:val="0"/>
          <w:sz w:val="24"/>
          <w:lang w:eastAsia="zh-CN"/>
        </w:rPr>
        <w:t>内江校区</w:t>
      </w:r>
    </w:p>
    <w:p>
      <w:pPr>
        <w:pStyle w:val="58"/>
        <w:snapToGrid w:val="0"/>
        <w:ind w:firstLine="960" w:firstLineChars="400"/>
        <w:rPr>
          <w:rFonts w:hAnsi="宋体" w:cs="宋体"/>
          <w:sz w:val="24"/>
          <w:highlight w:val="yellow"/>
        </w:rPr>
      </w:pPr>
      <w:r>
        <w:rPr>
          <w:rFonts w:hint="eastAsia" w:hAnsi="宋体" w:cs="宋体"/>
          <w:bCs/>
          <w:sz w:val="24"/>
        </w:rPr>
        <w:t>地址：</w:t>
      </w:r>
      <w:r>
        <w:rPr>
          <w:rFonts w:hint="eastAsia" w:ascii="宋体" w:hAnsi="宋体" w:cs="宋体"/>
          <w:sz w:val="24"/>
          <w:szCs w:val="24"/>
        </w:rPr>
        <w:t>内江市市中区甜城大道300号四川铁道职业学院内江校区</w:t>
      </w:r>
    </w:p>
    <w:p>
      <w:pPr>
        <w:pStyle w:val="58"/>
        <w:snapToGrid w:val="0"/>
        <w:ind w:firstLine="919" w:firstLineChars="383"/>
        <w:rPr>
          <w:rFonts w:hint="eastAsia" w:hAnsi="宋体" w:eastAsia="宋体" w:cs="宋体"/>
          <w:sz w:val="24"/>
          <w:lang w:eastAsia="zh-CN"/>
        </w:rPr>
      </w:pPr>
      <w:r>
        <w:rPr>
          <w:rFonts w:hint="eastAsia" w:hAnsi="宋体" w:cs="宋体"/>
          <w:sz w:val="24"/>
        </w:rPr>
        <w:t>联系人：</w:t>
      </w:r>
      <w:r>
        <w:rPr>
          <w:rFonts w:hint="eastAsia" w:hAnsi="宋体" w:cs="宋体"/>
          <w:sz w:val="24"/>
          <w:lang w:eastAsia="zh-CN"/>
        </w:rPr>
        <w:t>贺</w:t>
      </w:r>
      <w:r>
        <w:rPr>
          <w:rFonts w:hint="eastAsia" w:hAnsi="宋体" w:cs="宋体"/>
          <w:sz w:val="24"/>
        </w:rPr>
        <w:t xml:space="preserve">老师 </w:t>
      </w:r>
      <w:r>
        <w:rPr>
          <w:rFonts w:hint="eastAsia" w:hAnsi="宋体" w:cs="宋体"/>
          <w:sz w:val="24"/>
          <w:lang w:eastAsia="zh-CN"/>
        </w:rPr>
        <w:t>、张老师</w:t>
      </w:r>
    </w:p>
    <w:p>
      <w:pPr>
        <w:pStyle w:val="58"/>
        <w:snapToGrid w:val="0"/>
        <w:ind w:firstLine="914" w:firstLineChars="381"/>
        <w:rPr>
          <w:rFonts w:hAnsi="宋体" w:cs="宋体"/>
          <w:sz w:val="24"/>
        </w:rPr>
      </w:pPr>
      <w:r>
        <w:rPr>
          <w:rFonts w:hint="eastAsia" w:hAnsi="宋体" w:cs="宋体"/>
          <w:sz w:val="24"/>
        </w:rPr>
        <w:t>联系电话：028-6893</w:t>
      </w:r>
      <w:r>
        <w:rPr>
          <w:rFonts w:hint="eastAsia" w:hAnsi="宋体" w:cs="宋体"/>
          <w:sz w:val="24"/>
          <w:lang w:val="en-US" w:eastAsia="zh-CN"/>
        </w:rPr>
        <w:t xml:space="preserve">9875  </w:t>
      </w:r>
      <w:r>
        <w:rPr>
          <w:rFonts w:hint="eastAsia" w:hAnsi="宋体" w:cs="宋体"/>
          <w:sz w:val="24"/>
        </w:rPr>
        <w:t>0832-6100471</w:t>
      </w:r>
    </w:p>
    <w:p>
      <w:pPr>
        <w:pStyle w:val="58"/>
        <w:snapToGrid w:val="0"/>
        <w:ind w:firstLine="0" w:firstLineChars="0"/>
        <w:rPr>
          <w:rFonts w:hAnsi="宋体" w:cs="宋体"/>
          <w:sz w:val="24"/>
        </w:rPr>
        <w:sectPr>
          <w:footerReference r:id="rId5" w:type="default"/>
          <w:pgSz w:w="11907" w:h="16840"/>
          <w:pgMar w:top="1440" w:right="1080" w:bottom="1440" w:left="1080" w:header="851" w:footer="992" w:gutter="0"/>
          <w:pgNumType w:start="1"/>
          <w:cols w:space="720" w:num="1"/>
          <w:docGrid w:type="lines" w:linePitch="312" w:charSpace="0"/>
        </w:sectPr>
      </w:pPr>
    </w:p>
    <w:p>
      <w:pPr>
        <w:pStyle w:val="58"/>
        <w:snapToGrid w:val="0"/>
        <w:ind w:firstLine="919" w:firstLineChars="383"/>
        <w:rPr>
          <w:rFonts w:hint="default" w:hAnsi="宋体" w:eastAsia="宋体" w:cs="宋体"/>
          <w:sz w:val="24"/>
          <w:lang w:val="en-US" w:eastAsia="zh-CN"/>
        </w:rPr>
      </w:pPr>
    </w:p>
    <w:p>
      <w:pPr>
        <w:pStyle w:val="3"/>
        <w:snapToGrid w:val="0"/>
        <w:spacing w:before="0" w:after="0" w:line="360" w:lineRule="auto"/>
        <w:jc w:val="center"/>
        <w:rPr>
          <w:rFonts w:hAnsi="宋体" w:cs="宋体"/>
          <w:sz w:val="30"/>
          <w:szCs w:val="30"/>
        </w:rPr>
      </w:pPr>
      <w:r>
        <w:rPr>
          <w:rFonts w:hint="eastAsia" w:hAnsi="宋体" w:cs="宋体"/>
          <w:sz w:val="24"/>
        </w:rPr>
        <w:t xml:space="preserve"> </w:t>
      </w:r>
      <w:bookmarkStart w:id="3" w:name="_Toc213396759"/>
      <w:bookmarkStart w:id="4" w:name="_Toc213496267"/>
      <w:bookmarkStart w:id="5" w:name="_Toc358883242"/>
      <w:bookmarkStart w:id="6" w:name="_Toc217446031"/>
      <w:bookmarkStart w:id="7" w:name="_Toc213396945"/>
      <w:bookmarkStart w:id="8" w:name="_Toc213397009"/>
      <w:r>
        <w:rPr>
          <w:rFonts w:hint="eastAsia" w:hAnsi="宋体" w:cs="宋体"/>
          <w:sz w:val="30"/>
          <w:szCs w:val="30"/>
        </w:rPr>
        <w:t>第二章  投标人须知</w:t>
      </w:r>
      <w:bookmarkEnd w:id="3"/>
      <w:bookmarkEnd w:id="4"/>
      <w:bookmarkEnd w:id="5"/>
      <w:bookmarkEnd w:id="6"/>
      <w:bookmarkEnd w:id="7"/>
      <w:bookmarkEnd w:id="8"/>
    </w:p>
    <w:p>
      <w:pPr>
        <w:pStyle w:val="4"/>
        <w:snapToGrid w:val="0"/>
        <w:spacing w:before="0" w:after="0" w:line="360" w:lineRule="auto"/>
        <w:jc w:val="center"/>
        <w:rPr>
          <w:rFonts w:ascii="宋体" w:hAnsi="宋体" w:eastAsia="宋体" w:cs="宋体"/>
          <w:sz w:val="30"/>
          <w:szCs w:val="30"/>
        </w:rPr>
      </w:pPr>
      <w:bookmarkStart w:id="9" w:name="_Toc189727030"/>
      <w:bookmarkStart w:id="10" w:name="_Toc213396946"/>
      <w:bookmarkStart w:id="11" w:name="_Toc217446032"/>
      <w:bookmarkStart w:id="12" w:name="_Toc213396760"/>
      <w:bookmarkStart w:id="13" w:name="_Toc213397010"/>
      <w:bookmarkStart w:id="14" w:name="_Toc213496268"/>
      <w:r>
        <w:rPr>
          <w:rFonts w:hint="eastAsia" w:ascii="宋体" w:hAnsi="宋体" w:eastAsia="宋体" w:cs="宋体"/>
          <w:sz w:val="30"/>
          <w:szCs w:val="30"/>
        </w:rPr>
        <w:t>一、投标人须知附表</w:t>
      </w:r>
      <w:bookmarkEnd w:id="9"/>
      <w:bookmarkEnd w:id="10"/>
      <w:bookmarkEnd w:id="11"/>
      <w:bookmarkEnd w:id="12"/>
      <w:bookmarkEnd w:id="13"/>
      <w:bookmarkEnd w:id="14"/>
    </w:p>
    <w:tbl>
      <w:tblPr>
        <w:tblStyle w:val="19"/>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60"/>
              <w:snapToGrid w:val="0"/>
              <w:spacing w:line="360" w:lineRule="auto"/>
              <w:jc w:val="center"/>
              <w:rPr>
                <w:lang w:val="zh-CN"/>
              </w:rPr>
            </w:pPr>
            <w:r>
              <w:rPr>
                <w:rFonts w:hint="eastAsia"/>
                <w:lang w:val="zh-CN"/>
              </w:rPr>
              <w:t xml:space="preserve">序号 </w:t>
            </w:r>
          </w:p>
        </w:tc>
        <w:tc>
          <w:tcPr>
            <w:tcW w:w="1916" w:type="dxa"/>
            <w:vAlign w:val="center"/>
          </w:tcPr>
          <w:p>
            <w:pPr>
              <w:pStyle w:val="60"/>
              <w:snapToGrid w:val="0"/>
              <w:spacing w:line="360" w:lineRule="auto"/>
              <w:jc w:val="center"/>
              <w:rPr>
                <w:lang w:val="zh-CN"/>
              </w:rPr>
            </w:pPr>
            <w:r>
              <w:rPr>
                <w:rFonts w:hint="eastAsia"/>
                <w:lang w:val="zh-CN"/>
              </w:rPr>
              <w:t xml:space="preserve">应知事项 </w:t>
            </w:r>
          </w:p>
        </w:tc>
        <w:tc>
          <w:tcPr>
            <w:tcW w:w="6819" w:type="dxa"/>
            <w:vAlign w:val="center"/>
          </w:tcPr>
          <w:p>
            <w:pPr>
              <w:pStyle w:val="60"/>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60"/>
              <w:snapToGrid w:val="0"/>
              <w:spacing w:line="360" w:lineRule="auto"/>
              <w:jc w:val="center"/>
            </w:pPr>
            <w:r>
              <w:rPr>
                <w:rFonts w:hint="eastAsia"/>
              </w:rPr>
              <w:t>1</w:t>
            </w:r>
          </w:p>
        </w:tc>
        <w:tc>
          <w:tcPr>
            <w:tcW w:w="1916" w:type="dxa"/>
            <w:vAlign w:val="center"/>
          </w:tcPr>
          <w:p>
            <w:pPr>
              <w:pStyle w:val="60"/>
              <w:snapToGrid w:val="0"/>
              <w:spacing w:line="360" w:lineRule="auto"/>
              <w:jc w:val="center"/>
              <w:rPr>
                <w:lang w:val="zh-CN"/>
              </w:rPr>
            </w:pPr>
            <w:r>
              <w:rPr>
                <w:rFonts w:hint="eastAsia"/>
                <w:lang w:val="zh-CN"/>
              </w:rPr>
              <w:t>采购人</w:t>
            </w:r>
          </w:p>
        </w:tc>
        <w:tc>
          <w:tcPr>
            <w:tcW w:w="6819" w:type="dxa"/>
            <w:vAlign w:val="center"/>
          </w:tcPr>
          <w:p>
            <w:pPr>
              <w:pStyle w:val="58"/>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60"/>
              <w:snapToGrid w:val="0"/>
              <w:spacing w:line="360" w:lineRule="auto"/>
              <w:ind w:firstLine="240" w:firstLineChars="100"/>
              <w:rPr>
                <w:lang w:val="zh-CN"/>
              </w:rPr>
            </w:pPr>
            <w:r>
              <w:rPr>
                <w:rFonts w:hint="eastAsia"/>
                <w:lang w:val="zh-CN"/>
              </w:rPr>
              <w:t>地址：</w:t>
            </w:r>
            <w:r>
              <w:rPr>
                <w:rFonts w:hint="eastAsia"/>
              </w:rPr>
              <w:t>四川成都</w:t>
            </w:r>
            <w:r>
              <w:rPr>
                <w:rFonts w:hint="eastAsia"/>
                <w:lang w:eastAsia="zh-CN"/>
              </w:rPr>
              <w:t>市</w:t>
            </w:r>
            <w:r>
              <w:rPr>
                <w:rFonts w:hint="eastAsia"/>
              </w:rPr>
              <w:t>郫</w:t>
            </w:r>
            <w:r>
              <w:rPr>
                <w:rFonts w:hint="eastAsia"/>
                <w:lang w:eastAsia="zh-CN"/>
              </w:rPr>
              <w:t>都区</w:t>
            </w:r>
            <w:r>
              <w:rPr>
                <w:rFonts w:hint="eastAsia"/>
              </w:rPr>
              <w:t>安德</w:t>
            </w:r>
            <w:r>
              <w:rPr>
                <w:rFonts w:hint="eastAsia"/>
                <w:lang w:eastAsia="zh-CN"/>
              </w:rPr>
              <w:t>街道</w:t>
            </w:r>
            <w:r>
              <w:rPr>
                <w:rFonts w:hint="eastAsia"/>
              </w:rPr>
              <w:t>彭温路399号</w:t>
            </w:r>
          </w:p>
          <w:p>
            <w:pPr>
              <w:pStyle w:val="60"/>
              <w:snapToGrid w:val="0"/>
              <w:spacing w:line="360" w:lineRule="auto"/>
              <w:ind w:firstLine="240" w:firstLineChars="100"/>
              <w:rPr>
                <w:rFonts w:hint="default" w:eastAsia="宋体"/>
                <w:lang w:val="en-US" w:eastAsia="zh-CN"/>
              </w:rPr>
            </w:pPr>
            <w:r>
              <w:rPr>
                <w:rFonts w:hint="eastAsia"/>
                <w:lang w:val="zh-CN"/>
              </w:rPr>
              <w:t>联 系 人：贺老师、张老师</w:t>
            </w:r>
          </w:p>
          <w:p>
            <w:pPr>
              <w:pStyle w:val="60"/>
              <w:snapToGrid w:val="0"/>
              <w:spacing w:line="360" w:lineRule="auto"/>
              <w:ind w:firstLine="240" w:firstLineChars="100"/>
              <w:rPr>
                <w:rFonts w:hint="default" w:eastAsia="宋体"/>
                <w:lang w:val="en-US" w:eastAsia="zh-CN"/>
              </w:rPr>
            </w:pPr>
            <w:r>
              <w:rPr>
                <w:rFonts w:hint="eastAsia"/>
                <w:lang w:val="zh-CN"/>
              </w:rPr>
              <w:t>联系电话：</w:t>
            </w:r>
            <w:r>
              <w:rPr>
                <w:rFonts w:hint="eastAsia"/>
              </w:rPr>
              <w:t>028-6893</w:t>
            </w:r>
            <w:r>
              <w:rPr>
                <w:rFonts w:hint="eastAsia"/>
                <w:lang w:val="en-US" w:eastAsia="zh-CN"/>
              </w:rPr>
              <w:t>9875 0832-6100471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pPr>
            <w:r>
              <w:rPr>
                <w:rFonts w:hint="eastAsia"/>
              </w:rPr>
              <w:t>2</w:t>
            </w:r>
          </w:p>
        </w:tc>
        <w:tc>
          <w:tcPr>
            <w:tcW w:w="1916" w:type="dxa"/>
            <w:vAlign w:val="center"/>
          </w:tcPr>
          <w:p>
            <w:pPr>
              <w:pStyle w:val="60"/>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60"/>
              <w:snapToGrid w:val="0"/>
              <w:spacing w:line="360" w:lineRule="auto"/>
              <w:ind w:firstLine="240" w:firstLineChars="100"/>
              <w:rPr>
                <w:rFonts w:hint="default"/>
                <w:lang w:val="en-US" w:eastAsia="zh-CN"/>
              </w:rPr>
            </w:pPr>
            <w:r>
              <w:rPr>
                <w:rFonts w:hint="eastAsia"/>
                <w:lang w:val="en-US" w:eastAsia="zh-CN"/>
              </w:rPr>
              <w:t>内江校区2023年职工体检服务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60"/>
              <w:snapToGrid w:val="0"/>
              <w:spacing w:line="360" w:lineRule="auto"/>
              <w:jc w:val="center"/>
            </w:pPr>
            <w:r>
              <w:rPr>
                <w:rFonts w:hint="eastAsia"/>
              </w:rPr>
              <w:t>3</w:t>
            </w:r>
          </w:p>
        </w:tc>
        <w:tc>
          <w:tcPr>
            <w:tcW w:w="1916" w:type="dxa"/>
            <w:vAlign w:val="center"/>
          </w:tcPr>
          <w:p>
            <w:pPr>
              <w:pStyle w:val="60"/>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60"/>
              <w:snapToGrid w:val="0"/>
              <w:spacing w:line="360" w:lineRule="auto"/>
              <w:rPr>
                <w:rFonts w:hint="default"/>
                <w:lang w:val="en-US" w:eastAsia="zh-CN"/>
              </w:rPr>
            </w:pPr>
            <w:r>
              <w:rPr>
                <w:rFonts w:hint="eastAsia"/>
                <w:lang w:val="en-US" w:eastAsia="zh-CN"/>
              </w:rPr>
              <w:t>CTZY-CG-2023007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pPr>
            <w:r>
              <w:rPr>
                <w:rFonts w:hint="eastAsia"/>
              </w:rPr>
              <w:t>4</w:t>
            </w:r>
          </w:p>
        </w:tc>
        <w:tc>
          <w:tcPr>
            <w:tcW w:w="1916" w:type="dxa"/>
            <w:vAlign w:val="center"/>
          </w:tcPr>
          <w:p>
            <w:pPr>
              <w:pStyle w:val="60"/>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60"/>
              <w:snapToGrid w:val="0"/>
              <w:spacing w:line="360" w:lineRule="auto"/>
              <w:ind w:firstLine="240" w:firstLineChars="100"/>
              <w:rPr>
                <w:lang w:val="zh-CN"/>
              </w:rPr>
            </w:pPr>
            <w:r>
              <w:rPr>
                <w:rFonts w:hint="eastAsia"/>
                <w:lang w:val="en-US" w:eastAsia="zh-CN"/>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5</w:t>
            </w:r>
          </w:p>
        </w:tc>
        <w:tc>
          <w:tcPr>
            <w:tcW w:w="1916" w:type="dxa"/>
            <w:vAlign w:val="center"/>
          </w:tcPr>
          <w:p>
            <w:pPr>
              <w:pStyle w:val="60"/>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60"/>
              <w:snapToGrid w:val="0"/>
              <w:spacing w:line="360" w:lineRule="auto"/>
              <w:ind w:firstLine="240" w:firstLineChars="100"/>
              <w:rPr>
                <w:rFonts w:hint="default" w:eastAsia="宋体"/>
                <w:lang w:val="en-US" w:eastAsia="zh-CN"/>
              </w:rPr>
            </w:pPr>
            <w:r>
              <w:rPr>
                <w:rFonts w:hint="eastAsia"/>
                <w:lang w:val="en-US" w:eastAsia="zh-CN"/>
              </w:rPr>
              <w:t>9万元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60"/>
              <w:snapToGrid w:val="0"/>
              <w:spacing w:line="360" w:lineRule="auto"/>
              <w:jc w:val="center"/>
            </w:pPr>
            <w:r>
              <w:rPr>
                <w:rFonts w:hint="eastAsia"/>
              </w:rPr>
              <w:t>6</w:t>
            </w:r>
          </w:p>
        </w:tc>
        <w:tc>
          <w:tcPr>
            <w:tcW w:w="1916" w:type="dxa"/>
            <w:vAlign w:val="center"/>
          </w:tcPr>
          <w:p>
            <w:pPr>
              <w:pStyle w:val="60"/>
              <w:snapToGrid w:val="0"/>
              <w:spacing w:line="360" w:lineRule="auto"/>
              <w:jc w:val="center"/>
              <w:rPr>
                <w:lang w:val="zh-CN"/>
              </w:rPr>
            </w:pPr>
            <w:r>
              <w:rPr>
                <w:rFonts w:hint="eastAsia"/>
                <w:lang w:val="zh-CN"/>
              </w:rPr>
              <w:t>构成招标文件的其他文件</w:t>
            </w:r>
          </w:p>
        </w:tc>
        <w:tc>
          <w:tcPr>
            <w:tcW w:w="6819" w:type="dxa"/>
            <w:vAlign w:val="center"/>
          </w:tcPr>
          <w:p>
            <w:pPr>
              <w:pStyle w:val="60"/>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7</w:t>
            </w:r>
          </w:p>
        </w:tc>
        <w:tc>
          <w:tcPr>
            <w:tcW w:w="1916" w:type="dxa"/>
            <w:vAlign w:val="center"/>
          </w:tcPr>
          <w:p>
            <w:pPr>
              <w:pStyle w:val="60"/>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60"/>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8</w:t>
            </w:r>
          </w:p>
        </w:tc>
        <w:tc>
          <w:tcPr>
            <w:tcW w:w="1916" w:type="dxa"/>
            <w:vAlign w:val="center"/>
          </w:tcPr>
          <w:p>
            <w:pPr>
              <w:pStyle w:val="60"/>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60"/>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rPr>
                <w:lang w:val="zh-CN"/>
              </w:rPr>
            </w:pPr>
            <w:r>
              <w:rPr>
                <w:rFonts w:hint="eastAsia"/>
                <w:lang w:val="zh-CN"/>
              </w:rPr>
              <w:t>a.时间和地点详见 “投标邀请”;</w:t>
            </w:r>
          </w:p>
          <w:p>
            <w:pPr>
              <w:pStyle w:val="60"/>
              <w:snapToGrid w:val="0"/>
              <w:spacing w:line="360" w:lineRule="auto"/>
              <w:rPr>
                <w:lang w:val="zh-CN"/>
              </w:rPr>
            </w:pPr>
            <w:r>
              <w:rPr>
                <w:rFonts w:hint="eastAsia"/>
                <w:lang w:val="zh-CN"/>
              </w:rPr>
              <w:t>b.采购人在招标文件规定的时间和地点组织开标，投标人代表人执有效身份证参加。</w:t>
            </w:r>
          </w:p>
          <w:p>
            <w:pPr>
              <w:pStyle w:val="60"/>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rPr>
                <w:highlight w:val="yellow"/>
                <w:lang w:val="zh-CN"/>
              </w:rPr>
            </w:pPr>
            <w:r>
              <w:rPr>
                <w:rFonts w:hint="eastAsia"/>
                <w:lang w:val="zh-CN"/>
              </w:rPr>
              <w:t>时间：</w:t>
            </w:r>
            <w:r>
              <w:rPr>
                <w:rFonts w:hint="eastAsia"/>
                <w:lang w:val="en-US" w:eastAsia="zh-CN"/>
              </w:rPr>
              <w:t xml:space="preserve">2023 </w:t>
            </w:r>
            <w:r>
              <w:rPr>
                <w:rFonts w:hint="eastAsia"/>
                <w:lang w:val="zh-CN"/>
              </w:rPr>
              <w:t>年</w:t>
            </w:r>
            <w:r>
              <w:rPr>
                <w:rFonts w:hint="eastAsia"/>
                <w:lang w:val="en-US" w:eastAsia="zh-CN"/>
              </w:rPr>
              <w:t xml:space="preserve"> 7</w:t>
            </w:r>
            <w:r>
              <w:rPr>
                <w:rFonts w:hint="eastAsia"/>
              </w:rPr>
              <w:t>月</w:t>
            </w:r>
            <w:r>
              <w:rPr>
                <w:rFonts w:hint="eastAsia"/>
                <w:lang w:val="en-US" w:eastAsia="zh-CN"/>
              </w:rPr>
              <w:t>17</w:t>
            </w:r>
            <w:r>
              <w:rPr>
                <w:rFonts w:hint="eastAsia"/>
                <w:lang w:val="zh-CN"/>
              </w:rPr>
              <w:t>日</w:t>
            </w:r>
            <w:r>
              <w:rPr>
                <w:rFonts w:hint="eastAsia"/>
                <w:lang w:val="en-US" w:eastAsia="zh-CN"/>
              </w:rPr>
              <w:t>10:30</w:t>
            </w:r>
            <w:r>
              <w:rPr>
                <w:rFonts w:hint="eastAsia"/>
                <w:lang w:val="zh-CN"/>
              </w:rPr>
              <w:t>（北京时间）</w:t>
            </w:r>
          </w:p>
          <w:p>
            <w:pPr>
              <w:pStyle w:val="60"/>
              <w:snapToGrid w:val="0"/>
              <w:spacing w:line="360" w:lineRule="auto"/>
              <w:ind w:firstLine="240" w:firstLineChars="100"/>
              <w:rPr>
                <w:rFonts w:hint="default" w:eastAsia="宋体"/>
                <w:lang w:val="en-US" w:eastAsia="zh-CN"/>
              </w:rPr>
            </w:pPr>
            <w:r>
              <w:rPr>
                <w:rFonts w:hint="eastAsia"/>
                <w:lang w:val="zh-CN"/>
              </w:rPr>
              <w:t>地点：</w:t>
            </w:r>
            <w:r>
              <w:rPr>
                <w:rFonts w:hint="eastAsia" w:ascii="宋体" w:hAnsi="宋体" w:cs="宋体"/>
                <w:sz w:val="24"/>
                <w:szCs w:val="24"/>
              </w:rPr>
              <w:t>内江市市中区甜城大道300号四川铁道职业学院内江校区</w:t>
            </w:r>
          </w:p>
        </w:tc>
      </w:tr>
    </w:tbl>
    <w:p>
      <w:pPr>
        <w:snapToGrid w:val="0"/>
        <w:spacing w:line="360" w:lineRule="auto"/>
        <w:rPr>
          <w:rFonts w:hAnsi="宋体" w:cs="宋体"/>
          <w:bCs/>
          <w:sz w:val="30"/>
          <w:szCs w:val="30"/>
        </w:rPr>
      </w:pPr>
    </w:p>
    <w:p>
      <w:pPr>
        <w:pStyle w:val="4"/>
        <w:snapToGrid w:val="0"/>
        <w:spacing w:before="0" w:after="0" w:line="360" w:lineRule="auto"/>
        <w:jc w:val="center"/>
        <w:rPr>
          <w:rFonts w:ascii="宋体" w:hAnsi="宋体" w:eastAsia="宋体" w:cs="宋体"/>
          <w:sz w:val="30"/>
          <w:szCs w:val="30"/>
        </w:rPr>
      </w:pPr>
      <w:bookmarkStart w:id="15" w:name="_Toc77400779"/>
      <w:bookmarkStart w:id="16" w:name="_Toc217446038"/>
      <w:bookmarkStart w:id="17" w:name="_Toc89075875"/>
      <w:bookmarkStart w:id="18" w:name="_Toc183582209"/>
      <w:bookmarkStart w:id="19" w:name="_Toc183682346"/>
      <w:r>
        <w:rPr>
          <w:rFonts w:hint="eastAsia" w:ascii="宋体" w:hAnsi="宋体" w:eastAsia="宋体" w:cs="宋体"/>
          <w:sz w:val="30"/>
          <w:szCs w:val="30"/>
        </w:rPr>
        <w:t>二、招标文件</w:t>
      </w:r>
      <w:bookmarkEnd w:id="15"/>
      <w:bookmarkEnd w:id="16"/>
      <w:bookmarkEnd w:id="17"/>
      <w:bookmarkEnd w:id="18"/>
      <w:bookmarkEnd w:id="19"/>
    </w:p>
    <w:p>
      <w:pPr>
        <w:pStyle w:val="5"/>
        <w:snapToGrid w:val="0"/>
        <w:spacing w:before="0" w:after="0" w:line="360" w:lineRule="auto"/>
        <w:ind w:firstLine="161" w:firstLineChars="67"/>
        <w:rPr>
          <w:rFonts w:hAnsi="宋体" w:cs="宋体"/>
          <w:sz w:val="24"/>
          <w:szCs w:val="24"/>
        </w:rPr>
      </w:pPr>
      <w:bookmarkStart w:id="20" w:name="_Toc217446039"/>
      <w:bookmarkStart w:id="21" w:name="_Toc183682347"/>
      <w:bookmarkStart w:id="22" w:name="_Toc183582210"/>
      <w:r>
        <w:rPr>
          <w:rFonts w:hint="eastAsia" w:hAnsi="宋体" w:cs="宋体"/>
          <w:sz w:val="24"/>
          <w:szCs w:val="24"/>
        </w:rPr>
        <w:t>1．招标文件的构成</w:t>
      </w:r>
      <w:bookmarkEnd w:id="20"/>
      <w:bookmarkEnd w:id="21"/>
      <w:bookmarkEnd w:id="22"/>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5"/>
        <w:snapToGrid w:val="0"/>
        <w:spacing w:before="0" w:after="0" w:line="360" w:lineRule="auto"/>
        <w:ind w:firstLine="161" w:firstLineChars="67"/>
        <w:rPr>
          <w:rFonts w:hAnsi="宋体" w:cs="宋体"/>
          <w:sz w:val="24"/>
          <w:szCs w:val="24"/>
        </w:rPr>
      </w:pPr>
      <w:bookmarkStart w:id="23" w:name="_Toc183582211"/>
      <w:bookmarkStart w:id="24" w:name="_Toc183682348"/>
      <w:bookmarkStart w:id="25" w:name="_Toc217446040"/>
      <w:r>
        <w:rPr>
          <w:rFonts w:hint="eastAsia" w:hAnsi="宋体" w:cs="宋体"/>
          <w:sz w:val="24"/>
          <w:szCs w:val="24"/>
        </w:rPr>
        <w:t>2. 招标文件的澄清</w:t>
      </w:r>
      <w:bookmarkEnd w:id="23"/>
      <w:bookmarkEnd w:id="24"/>
      <w:r>
        <w:rPr>
          <w:rFonts w:hint="eastAsia" w:hAnsi="宋体" w:cs="宋体"/>
          <w:sz w:val="24"/>
          <w:szCs w:val="24"/>
        </w:rPr>
        <w:t>和修改</w:t>
      </w:r>
      <w:bookmarkEnd w:id="25"/>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4"/>
        <w:snapToGrid w:val="0"/>
        <w:spacing w:before="0" w:after="0" w:line="360" w:lineRule="auto"/>
        <w:jc w:val="center"/>
        <w:rPr>
          <w:rFonts w:ascii="宋体" w:hAnsi="宋体" w:eastAsia="宋体" w:cs="宋体"/>
          <w:sz w:val="30"/>
          <w:szCs w:val="30"/>
        </w:rPr>
      </w:pPr>
      <w:bookmarkStart w:id="26" w:name="_Toc217446042"/>
      <w:bookmarkStart w:id="27" w:name="_Toc89075876"/>
      <w:bookmarkStart w:id="28" w:name="_Toc77400780"/>
      <w:bookmarkStart w:id="29" w:name="_Toc183582214"/>
      <w:bookmarkStart w:id="30" w:name="_Toc183682351"/>
      <w:r>
        <w:rPr>
          <w:rFonts w:hint="eastAsia" w:ascii="宋体" w:hAnsi="宋体" w:eastAsia="宋体" w:cs="宋体"/>
          <w:sz w:val="30"/>
          <w:szCs w:val="30"/>
        </w:rPr>
        <w:t>三、投标文件</w:t>
      </w:r>
      <w:bookmarkEnd w:id="26"/>
      <w:bookmarkEnd w:id="27"/>
      <w:bookmarkEnd w:id="28"/>
      <w:bookmarkEnd w:id="29"/>
      <w:bookmarkEnd w:id="30"/>
    </w:p>
    <w:p>
      <w:pPr>
        <w:pStyle w:val="5"/>
        <w:snapToGrid w:val="0"/>
        <w:spacing w:before="0" w:after="0" w:line="360" w:lineRule="auto"/>
        <w:ind w:firstLine="161" w:firstLineChars="67"/>
        <w:rPr>
          <w:rFonts w:hAnsi="宋体" w:cs="宋体"/>
          <w:sz w:val="24"/>
          <w:szCs w:val="24"/>
        </w:rPr>
      </w:pPr>
      <w:bookmarkStart w:id="31" w:name="_Toc183682352"/>
      <w:bookmarkStart w:id="32" w:name="_Toc217446043"/>
      <w:bookmarkStart w:id="33" w:name="_Toc183582215"/>
      <w:r>
        <w:rPr>
          <w:rFonts w:hint="eastAsia" w:hAnsi="宋体" w:cs="宋体"/>
          <w:sz w:val="24"/>
          <w:szCs w:val="24"/>
        </w:rPr>
        <w:t>3．投标文件的语言</w:t>
      </w:r>
      <w:bookmarkEnd w:id="31"/>
      <w:bookmarkEnd w:id="32"/>
      <w:bookmarkEnd w:id="33"/>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5"/>
        <w:snapToGrid w:val="0"/>
        <w:spacing w:before="0" w:after="0" w:line="360" w:lineRule="auto"/>
        <w:ind w:firstLine="161" w:firstLineChars="67"/>
        <w:rPr>
          <w:rFonts w:hAnsi="宋体" w:cs="宋体"/>
          <w:sz w:val="24"/>
          <w:szCs w:val="24"/>
        </w:rPr>
      </w:pPr>
      <w:bookmarkStart w:id="34" w:name="_Toc217446045"/>
      <w:r>
        <w:rPr>
          <w:rFonts w:hint="eastAsia" w:hAnsi="宋体" w:cs="宋体"/>
          <w:sz w:val="24"/>
          <w:szCs w:val="24"/>
        </w:rPr>
        <w:t>4. 投标货币</w:t>
      </w:r>
      <w:bookmarkEnd w:id="34"/>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5"/>
        <w:snapToGrid w:val="0"/>
        <w:spacing w:before="0" w:after="0" w:line="360" w:lineRule="auto"/>
        <w:ind w:firstLine="161" w:firstLineChars="67"/>
        <w:rPr>
          <w:rFonts w:hAnsi="宋体" w:cs="宋体"/>
          <w:sz w:val="24"/>
          <w:szCs w:val="24"/>
        </w:rPr>
      </w:pPr>
      <w:bookmarkStart w:id="35" w:name="_Toc217446047"/>
      <w:r>
        <w:rPr>
          <w:rFonts w:hint="eastAsia" w:hAnsi="宋体" w:cs="宋体"/>
          <w:sz w:val="24"/>
          <w:szCs w:val="24"/>
        </w:rPr>
        <w:t>5. 知识产权</w:t>
      </w:r>
      <w:bookmarkEnd w:id="35"/>
    </w:p>
    <w:p>
      <w:pPr>
        <w:pStyle w:val="8"/>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8"/>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5"/>
        <w:snapToGrid w:val="0"/>
        <w:spacing w:before="0" w:after="0" w:line="360" w:lineRule="auto"/>
        <w:ind w:firstLine="161" w:firstLineChars="67"/>
        <w:rPr>
          <w:rFonts w:hAnsi="宋体" w:cs="宋体"/>
          <w:sz w:val="24"/>
          <w:szCs w:val="24"/>
        </w:rPr>
      </w:pPr>
      <w:bookmarkStart w:id="36" w:name="_Toc183582217"/>
      <w:bookmarkStart w:id="37" w:name="_Toc217446048"/>
      <w:bookmarkStart w:id="38" w:name="_Toc183682354"/>
      <w:bookmarkStart w:id="39" w:name="_Toc358883246"/>
      <w:bookmarkStart w:id="40" w:name="_Toc217446093"/>
      <w:r>
        <w:rPr>
          <w:rFonts w:hint="eastAsia" w:hAnsi="宋体" w:cs="宋体"/>
          <w:sz w:val="24"/>
          <w:szCs w:val="24"/>
        </w:rPr>
        <w:t>6．投标文件的组成</w:t>
      </w:r>
      <w:bookmarkEnd w:id="36"/>
      <w:bookmarkEnd w:id="37"/>
      <w:bookmarkEnd w:id="38"/>
      <w:bookmarkStart w:id="41" w:name="_Toc217446049"/>
      <w:bookmarkStart w:id="42" w:name="_Toc183682355"/>
      <w:bookmarkStart w:id="43" w:name="_Toc183582218"/>
      <w:r>
        <w:rPr>
          <w:rFonts w:hint="eastAsia" w:hAnsi="宋体" w:cs="宋体"/>
          <w:sz w:val="24"/>
          <w:szCs w:val="24"/>
        </w:rPr>
        <w:t>。</w:t>
      </w:r>
    </w:p>
    <w:p>
      <w:pPr>
        <w:pStyle w:val="5"/>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8"/>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8"/>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8"/>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8"/>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8"/>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8"/>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8"/>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5"/>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8"/>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8"/>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8"/>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8"/>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8"/>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8"/>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8"/>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8"/>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5"/>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1"/>
      <w:bookmarkEnd w:id="42"/>
      <w:bookmarkEnd w:id="43"/>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5"/>
        <w:snapToGrid w:val="0"/>
        <w:spacing w:before="0" w:after="0" w:line="360" w:lineRule="auto"/>
        <w:ind w:firstLine="161" w:firstLineChars="67"/>
        <w:rPr>
          <w:rFonts w:hAnsi="宋体" w:cs="宋体"/>
          <w:sz w:val="24"/>
          <w:szCs w:val="24"/>
        </w:rPr>
      </w:pPr>
      <w:bookmarkStart w:id="44" w:name="_Toc183682361"/>
      <w:bookmarkStart w:id="45" w:name="_Toc217446051"/>
      <w:bookmarkStart w:id="46" w:name="_Toc183582224"/>
      <w:r>
        <w:rPr>
          <w:rFonts w:hint="eastAsia" w:hAnsi="宋体" w:cs="宋体"/>
          <w:sz w:val="24"/>
          <w:szCs w:val="24"/>
        </w:rPr>
        <w:t>9．投标有效期</w:t>
      </w:r>
      <w:bookmarkEnd w:id="44"/>
      <w:bookmarkEnd w:id="45"/>
      <w:bookmarkEnd w:id="46"/>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5"/>
        <w:snapToGrid w:val="0"/>
        <w:spacing w:before="0" w:after="0" w:line="360" w:lineRule="auto"/>
        <w:ind w:firstLine="161" w:firstLineChars="67"/>
        <w:rPr>
          <w:rFonts w:hAnsi="宋体" w:cs="宋体"/>
          <w:sz w:val="24"/>
          <w:szCs w:val="24"/>
        </w:rPr>
      </w:pPr>
      <w:bookmarkStart w:id="47" w:name="_Toc77400781"/>
      <w:bookmarkStart w:id="48" w:name="_Toc183682363"/>
      <w:bookmarkStart w:id="49" w:name="_Toc89075877"/>
      <w:bookmarkStart w:id="50" w:name="_Toc183582226"/>
      <w:bookmarkStart w:id="51" w:name="_Toc217446053"/>
      <w:r>
        <w:rPr>
          <w:rFonts w:hint="eastAsia" w:hAnsi="宋体" w:cs="宋体"/>
          <w:sz w:val="24"/>
          <w:szCs w:val="24"/>
        </w:rPr>
        <w:t>10. 投标文件的密封和标</w:t>
      </w:r>
      <w:bookmarkEnd w:id="47"/>
      <w:bookmarkEnd w:id="48"/>
      <w:bookmarkEnd w:id="49"/>
      <w:bookmarkEnd w:id="50"/>
      <w:r>
        <w:rPr>
          <w:rFonts w:hint="eastAsia" w:hAnsi="宋体" w:cs="宋体"/>
          <w:sz w:val="24"/>
          <w:szCs w:val="24"/>
        </w:rPr>
        <w:t>注</w:t>
      </w:r>
      <w:bookmarkEnd w:id="51"/>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5"/>
        <w:snapToGrid w:val="0"/>
        <w:spacing w:before="0" w:after="0" w:line="360" w:lineRule="auto"/>
        <w:ind w:firstLine="161" w:firstLineChars="67"/>
        <w:rPr>
          <w:rFonts w:hAnsi="宋体" w:cs="宋体"/>
          <w:sz w:val="24"/>
          <w:szCs w:val="24"/>
        </w:rPr>
      </w:pPr>
      <w:bookmarkStart w:id="52" w:name="_Toc183582227"/>
      <w:bookmarkStart w:id="53" w:name="_Toc183682364"/>
      <w:bookmarkStart w:id="54" w:name="_Toc217446054"/>
      <w:r>
        <w:rPr>
          <w:rFonts w:hint="eastAsia" w:hAnsi="宋体" w:cs="宋体"/>
          <w:sz w:val="24"/>
          <w:szCs w:val="24"/>
        </w:rPr>
        <w:t>11．投标文件的</w:t>
      </w:r>
      <w:bookmarkEnd w:id="52"/>
      <w:bookmarkEnd w:id="53"/>
      <w:r>
        <w:rPr>
          <w:rFonts w:hint="eastAsia" w:hAnsi="宋体" w:cs="宋体"/>
          <w:sz w:val="24"/>
          <w:szCs w:val="24"/>
        </w:rPr>
        <w:t>递交</w:t>
      </w:r>
      <w:bookmarkEnd w:id="54"/>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5"/>
        <w:snapToGrid w:val="0"/>
        <w:spacing w:before="0" w:after="0" w:line="360" w:lineRule="auto"/>
        <w:ind w:firstLine="161" w:firstLineChars="67"/>
        <w:rPr>
          <w:rFonts w:hAnsi="宋体" w:cs="宋体"/>
          <w:sz w:val="24"/>
          <w:szCs w:val="24"/>
        </w:rPr>
      </w:pPr>
      <w:bookmarkStart w:id="55" w:name="_Toc183582228"/>
      <w:bookmarkStart w:id="56" w:name="_Toc183682365"/>
      <w:bookmarkStart w:id="57" w:name="_Toc217446055"/>
      <w:r>
        <w:rPr>
          <w:rFonts w:hint="eastAsia" w:hAnsi="宋体" w:cs="宋体"/>
          <w:sz w:val="24"/>
          <w:szCs w:val="24"/>
        </w:rPr>
        <w:t>12．投标文件的修改和撤</w:t>
      </w:r>
      <w:bookmarkEnd w:id="55"/>
      <w:bookmarkEnd w:id="56"/>
      <w:r>
        <w:rPr>
          <w:rFonts w:hint="eastAsia" w:hAnsi="宋体" w:cs="宋体"/>
          <w:sz w:val="24"/>
          <w:szCs w:val="24"/>
        </w:rPr>
        <w:t>回</w:t>
      </w:r>
      <w:bookmarkEnd w:id="57"/>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58" w:name="_Toc77400782"/>
      <w:bookmarkStart w:id="59" w:name="_Toc217446056"/>
      <w:bookmarkStart w:id="60" w:name="_Toc89075878"/>
      <w:bookmarkStart w:id="61" w:name="_Toc183582231"/>
      <w:bookmarkStart w:id="62" w:name="_Toc183682368"/>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58"/>
      <w:bookmarkEnd w:id="59"/>
      <w:bookmarkEnd w:id="60"/>
      <w:bookmarkEnd w:id="61"/>
      <w:bookmarkEnd w:id="62"/>
      <w:bookmarkStart w:id="63" w:name="_Toc217446057"/>
      <w:bookmarkStart w:id="64" w:name="_Toc183582232"/>
      <w:bookmarkStart w:id="65" w:name="_Toc183682369"/>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3"/>
      <w:bookmarkEnd w:id="64"/>
      <w:bookmarkEnd w:id="65"/>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5"/>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5"/>
        <w:snapToGrid w:val="0"/>
        <w:spacing w:before="0" w:after="0" w:line="360" w:lineRule="auto"/>
        <w:ind w:firstLine="161" w:firstLineChars="67"/>
        <w:rPr>
          <w:rFonts w:hAnsi="宋体" w:cs="宋体"/>
          <w:sz w:val="24"/>
          <w:szCs w:val="24"/>
        </w:rPr>
      </w:pPr>
      <w:bookmarkStart w:id="66" w:name="_Toc183582238"/>
      <w:bookmarkStart w:id="67" w:name="_Toc183682375"/>
      <w:bookmarkStart w:id="68" w:name="_Toc217446063"/>
      <w:r>
        <w:rPr>
          <w:rFonts w:hint="eastAsia" w:hAnsi="宋体" w:cs="宋体"/>
          <w:sz w:val="24"/>
          <w:szCs w:val="24"/>
        </w:rPr>
        <w:t>15．中标通知</w:t>
      </w:r>
      <w:bookmarkEnd w:id="66"/>
      <w:bookmarkEnd w:id="67"/>
      <w:r>
        <w:rPr>
          <w:rFonts w:hint="eastAsia" w:hAnsi="宋体" w:cs="宋体"/>
          <w:sz w:val="24"/>
          <w:szCs w:val="24"/>
        </w:rPr>
        <w:t>书</w:t>
      </w:r>
      <w:bookmarkEnd w:id="68"/>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69" w:name="_Toc217446064"/>
      <w:bookmarkStart w:id="70" w:name="_Toc183582240"/>
      <w:bookmarkStart w:id="71" w:name="_Toc183682377"/>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69"/>
    </w:p>
    <w:p>
      <w:pPr>
        <w:pStyle w:val="4"/>
        <w:snapToGrid w:val="0"/>
        <w:spacing w:before="0" w:after="0" w:line="360" w:lineRule="auto"/>
        <w:ind w:firstLine="161" w:firstLineChars="67"/>
        <w:rPr>
          <w:rFonts w:ascii="宋体" w:hAnsi="宋体" w:eastAsia="宋体" w:cs="宋体"/>
          <w:sz w:val="24"/>
          <w:szCs w:val="24"/>
        </w:rPr>
      </w:pPr>
      <w:bookmarkStart w:id="72" w:name="_Toc217446065"/>
      <w:r>
        <w:rPr>
          <w:rFonts w:hint="eastAsia" w:ascii="宋体" w:hAnsi="宋体" w:eastAsia="宋体" w:cs="宋体"/>
          <w:sz w:val="24"/>
          <w:szCs w:val="24"/>
        </w:rPr>
        <w:t>16. 签订合同</w:t>
      </w:r>
      <w:bookmarkEnd w:id="72"/>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4"/>
        <w:snapToGrid w:val="0"/>
        <w:spacing w:before="0" w:after="0" w:line="360" w:lineRule="auto"/>
        <w:ind w:firstLine="161" w:firstLineChars="67"/>
        <w:rPr>
          <w:rFonts w:ascii="宋体" w:hAnsi="宋体" w:eastAsia="宋体" w:cs="宋体"/>
          <w:sz w:val="24"/>
          <w:szCs w:val="24"/>
        </w:rPr>
      </w:pPr>
      <w:bookmarkStart w:id="73" w:name="_Toc217446069"/>
      <w:r>
        <w:rPr>
          <w:rFonts w:hint="eastAsia" w:ascii="宋体" w:hAnsi="宋体" w:eastAsia="宋体" w:cs="宋体"/>
          <w:sz w:val="24"/>
          <w:szCs w:val="24"/>
        </w:rPr>
        <w:t>17. 履行合同</w:t>
      </w:r>
      <w:bookmarkEnd w:id="73"/>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4"/>
        <w:snapToGrid w:val="0"/>
        <w:spacing w:before="0" w:after="0" w:line="360" w:lineRule="auto"/>
        <w:ind w:firstLine="161" w:firstLineChars="67"/>
        <w:rPr>
          <w:rFonts w:ascii="宋体" w:hAnsi="宋体" w:eastAsia="宋体" w:cs="宋体"/>
          <w:sz w:val="24"/>
          <w:szCs w:val="24"/>
        </w:rPr>
      </w:pPr>
      <w:bookmarkStart w:id="74" w:name="_Toc217446070"/>
      <w:r>
        <w:rPr>
          <w:rFonts w:hint="eastAsia" w:ascii="宋体" w:hAnsi="宋体" w:eastAsia="宋体" w:cs="宋体"/>
          <w:sz w:val="24"/>
          <w:szCs w:val="24"/>
        </w:rPr>
        <w:t>18. 验收</w:t>
      </w:r>
      <w:bookmarkEnd w:id="74"/>
    </w:p>
    <w:bookmarkEnd w:id="70"/>
    <w:bookmarkEnd w:id="71"/>
    <w:p>
      <w:pPr>
        <w:tabs>
          <w:tab w:val="left" w:pos="7665"/>
        </w:tabs>
        <w:snapToGrid w:val="0"/>
        <w:spacing w:line="360" w:lineRule="auto"/>
        <w:ind w:firstLine="480" w:firstLineChars="200"/>
        <w:rPr>
          <w:rFonts w:hAnsi="宋体" w:cs="宋体"/>
          <w:sz w:val="24"/>
          <w:szCs w:val="24"/>
        </w:rPr>
      </w:pPr>
      <w:bookmarkStart w:id="75" w:name="_Toc217446071"/>
      <w:bookmarkStart w:id="76" w:name="_Toc217446074"/>
      <w:bookmarkStart w:id="77" w:name="_Toc183582243"/>
      <w:bookmarkStart w:id="78" w:name="_Toc183682380"/>
      <w:r>
        <w:rPr>
          <w:rFonts w:hint="eastAsia" w:hAnsi="宋体" w:cs="宋体"/>
          <w:sz w:val="24"/>
          <w:szCs w:val="24"/>
        </w:rPr>
        <w:t xml:space="preserve"> 中标人与采购人按照招标项目技术、商务及其他要求（参见第四章）进行验收，采购人也可依据合同自行组织验收。</w:t>
      </w:r>
    </w:p>
    <w:bookmarkEnd w:id="75"/>
    <w:p>
      <w:pPr>
        <w:pStyle w:val="4"/>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6"/>
    </w:p>
    <w:p>
      <w:pPr>
        <w:pStyle w:val="4"/>
        <w:snapToGrid w:val="0"/>
        <w:spacing w:before="0" w:after="0" w:line="360" w:lineRule="auto"/>
        <w:ind w:firstLine="161" w:firstLineChars="67"/>
        <w:rPr>
          <w:rFonts w:ascii="宋体" w:hAnsi="宋体" w:eastAsia="宋体" w:cs="宋体"/>
          <w:sz w:val="24"/>
          <w:szCs w:val="24"/>
        </w:rPr>
      </w:pPr>
      <w:bookmarkStart w:id="79" w:name="_Toc217446075"/>
      <w:r>
        <w:rPr>
          <w:rFonts w:hint="eastAsia" w:ascii="宋体" w:hAnsi="宋体" w:eastAsia="宋体" w:cs="宋体"/>
          <w:sz w:val="24"/>
          <w:szCs w:val="24"/>
        </w:rPr>
        <w:t>19. 投标人不得具有的情形</w:t>
      </w:r>
      <w:bookmarkEnd w:id="79"/>
    </w:p>
    <w:p>
      <w:pPr>
        <w:pStyle w:val="2"/>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2"/>
        <w:snapToGrid w:val="0"/>
        <w:spacing w:line="360" w:lineRule="auto"/>
        <w:ind w:firstLine="160" w:firstLineChars="67"/>
        <w:rPr>
          <w:rFonts w:hAnsi="宋体" w:cs="宋体"/>
          <w:sz w:val="24"/>
        </w:rPr>
      </w:pPr>
      <w:r>
        <w:rPr>
          <w:rFonts w:hint="eastAsia" w:hAnsi="宋体" w:cs="宋体"/>
          <w:sz w:val="24"/>
        </w:rPr>
        <w:t>（1）提供虚假材料谋取中标；</w:t>
      </w:r>
    </w:p>
    <w:p>
      <w:pPr>
        <w:pStyle w:val="2"/>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2"/>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2"/>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2"/>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2"/>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2"/>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0"/>
        <w:snapToGrid w:val="0"/>
        <w:spacing w:line="360" w:lineRule="auto"/>
        <w:ind w:left="630" w:firstLine="3162" w:firstLineChars="1050"/>
        <w:rPr>
          <w:rFonts w:hAnsi="宋体" w:cs="宋体"/>
          <w:b/>
          <w:bCs/>
          <w:sz w:val="30"/>
          <w:szCs w:val="30"/>
        </w:rPr>
      </w:pPr>
      <w:bookmarkStart w:id="80" w:name="_Toc217446078"/>
      <w:r>
        <w:rPr>
          <w:rFonts w:hint="eastAsia" w:hAnsi="宋体" w:cs="宋体"/>
          <w:b/>
          <w:bCs/>
          <w:sz w:val="30"/>
          <w:szCs w:val="30"/>
        </w:rPr>
        <w:t>七、质疑</w:t>
      </w:r>
      <w:bookmarkEnd w:id="80"/>
      <w:bookmarkStart w:id="81" w:name="_Toc217446079"/>
    </w:p>
    <w:bookmarkEnd w:id="81"/>
    <w:p>
      <w:pPr>
        <w:pStyle w:val="4"/>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7"/>
      <w:bookmarkEnd w:id="78"/>
    </w:p>
    <w:p>
      <w:pPr>
        <w:pStyle w:val="2"/>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w:t>
      </w:r>
      <w:r>
        <w:rPr>
          <w:rFonts w:hint="eastAsia" w:hAnsi="宋体" w:cs="宋体"/>
          <w:sz w:val="24"/>
          <w:lang w:val="en-US" w:eastAsia="zh-CN"/>
        </w:rPr>
        <w:t>5</w:t>
      </w:r>
      <w:r>
        <w:rPr>
          <w:rFonts w:hint="eastAsia" w:hAnsi="宋体" w:cs="宋体"/>
          <w:sz w:val="24"/>
        </w:rPr>
        <w:t>。</w:t>
      </w:r>
      <w:bookmarkStart w:id="82" w:name="_Toc358883243"/>
    </w:p>
    <w:p>
      <w:pPr>
        <w:pStyle w:val="10"/>
        <w:snapToGrid w:val="0"/>
        <w:spacing w:line="360" w:lineRule="auto"/>
        <w:ind w:firstLine="480" w:firstLineChars="200"/>
        <w:rPr>
          <w:rFonts w:hAnsi="宋体" w:cs="宋体"/>
          <w:sz w:val="24"/>
        </w:rPr>
      </w:pPr>
    </w:p>
    <w:p>
      <w:pPr>
        <w:pStyle w:val="10"/>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3"/>
        <w:snapToGrid w:val="0"/>
        <w:spacing w:before="0" w:after="0" w:line="360" w:lineRule="auto"/>
        <w:jc w:val="center"/>
        <w:rPr>
          <w:rFonts w:hAnsi="宋体" w:cs="宋体"/>
          <w:sz w:val="30"/>
          <w:szCs w:val="30"/>
        </w:rPr>
      </w:pPr>
    </w:p>
    <w:p>
      <w:pPr>
        <w:pStyle w:val="3"/>
        <w:snapToGrid w:val="0"/>
        <w:spacing w:before="0" w:after="0" w:line="360" w:lineRule="auto"/>
        <w:jc w:val="both"/>
        <w:rPr>
          <w:rFonts w:hint="eastAsia" w:hAnsi="宋体" w:cs="宋体"/>
          <w:sz w:val="30"/>
          <w:szCs w:val="30"/>
        </w:rPr>
      </w:pPr>
    </w:p>
    <w:p>
      <w:pPr>
        <w:rPr>
          <w:rFonts w:hint="eastAsia" w:hAnsi="宋体" w:cs="宋体"/>
          <w:sz w:val="30"/>
          <w:szCs w:val="30"/>
        </w:rPr>
      </w:pPr>
      <w:r>
        <w:rPr>
          <w:rFonts w:hint="eastAsia" w:hAnsi="宋体" w:cs="宋体"/>
          <w:sz w:val="30"/>
          <w:szCs w:val="30"/>
        </w:rPr>
        <w:br w:type="page"/>
      </w:r>
    </w:p>
    <w:p>
      <w:pPr>
        <w:pStyle w:val="4"/>
        <w:snapToGrid w:val="0"/>
        <w:spacing w:before="0" w:after="0" w:line="360" w:lineRule="auto"/>
        <w:jc w:val="center"/>
        <w:rPr>
          <w:rFonts w:hint="eastAsia" w:ascii="宋体" w:hAnsi="宋体" w:eastAsia="宋体" w:cs="宋体"/>
        </w:rPr>
      </w:pPr>
      <w:r>
        <w:rPr>
          <w:rFonts w:hint="eastAsia" w:ascii="宋体" w:hAnsi="宋体" w:eastAsia="宋体" w:cs="宋体"/>
        </w:rPr>
        <w:t>第三章 投标文件格式</w:t>
      </w:r>
      <w:bookmarkEnd w:id="82"/>
    </w:p>
    <w:p>
      <w:pPr>
        <w:pStyle w:val="4"/>
        <w:snapToGrid w:val="0"/>
        <w:spacing w:before="0" w:after="0" w:line="360" w:lineRule="auto"/>
        <w:jc w:val="center"/>
        <w:rPr>
          <w:rFonts w:ascii="宋体" w:hAnsi="宋体" w:eastAsia="宋体" w:cs="宋体"/>
        </w:rPr>
      </w:pPr>
      <w:bookmarkStart w:id="83" w:name="_Toc217446082"/>
      <w:r>
        <w:rPr>
          <w:rFonts w:hint="eastAsia" w:ascii="宋体" w:hAnsi="宋体" w:eastAsia="宋体" w:cs="宋体"/>
        </w:rPr>
        <w:t>一、投 标 函</w:t>
      </w:r>
      <w:bookmarkEnd w:id="83"/>
    </w:p>
    <w:p>
      <w:pPr>
        <w:pStyle w:val="10"/>
        <w:snapToGrid w:val="0"/>
        <w:spacing w:line="348" w:lineRule="auto"/>
        <w:ind w:hanging="1"/>
        <w:jc w:val="left"/>
        <w:rPr>
          <w:rFonts w:hAnsi="宋体" w:cs="宋体"/>
          <w:bCs/>
          <w:sz w:val="24"/>
          <w:szCs w:val="24"/>
        </w:rPr>
      </w:pPr>
      <w:bookmarkStart w:id="84" w:name="_Toc217446083"/>
      <w:r>
        <w:rPr>
          <w:rFonts w:hint="eastAsia" w:hAnsi="宋体" w:cs="宋体"/>
          <w:bCs/>
          <w:sz w:val="24"/>
          <w:szCs w:val="24"/>
        </w:rPr>
        <w:t>__________________（采购人名称）：</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0"/>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0"/>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4"/>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4"/>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5" w:name="_Toc250041691"/>
      <w:bookmarkStart w:id="86" w:name="_Toc237145385"/>
      <w:bookmarkStart w:id="87" w:name="_Toc297204985"/>
      <w:bookmarkStart w:id="88" w:name="_Toc263768864"/>
      <w:bookmarkStart w:id="89" w:name="_Toc263753600"/>
      <w:bookmarkStart w:id="90" w:name="_Toc256175382"/>
      <w:bookmarkStart w:id="91" w:name="_Toc217446085"/>
    </w:p>
    <w:bookmarkEnd w:id="85"/>
    <w:bookmarkEnd w:id="86"/>
    <w:bookmarkEnd w:id="87"/>
    <w:bookmarkEnd w:id="88"/>
    <w:bookmarkEnd w:id="89"/>
    <w:bookmarkEnd w:id="90"/>
    <w:p>
      <w:pPr>
        <w:adjustRightInd w:val="0"/>
        <w:snapToGrid w:val="0"/>
        <w:spacing w:line="360" w:lineRule="auto"/>
        <w:jc w:val="left"/>
        <w:rPr>
          <w:rFonts w:hAnsi="宋体" w:cs="宋体"/>
          <w:bCs/>
          <w:spacing w:val="8"/>
          <w:sz w:val="24"/>
          <w:szCs w:val="24"/>
        </w:rPr>
        <w:sectPr>
          <w:footerReference r:id="rId6" w:type="default"/>
          <w:pgSz w:w="11907" w:h="16840"/>
          <w:pgMar w:top="1440" w:right="1080" w:bottom="1440" w:left="1080" w:header="851" w:footer="992" w:gutter="0"/>
          <w:cols w:space="720" w:num="1"/>
          <w:docGrid w:type="lines" w:linePitch="312" w:charSpace="0"/>
        </w:sectPr>
      </w:pPr>
    </w:p>
    <w:bookmarkEnd w:id="91"/>
    <w:p>
      <w:pPr>
        <w:pStyle w:val="4"/>
        <w:keepNext w:val="0"/>
        <w:keepLines w:val="0"/>
        <w:snapToGrid w:val="0"/>
        <w:spacing w:before="0" w:after="0"/>
        <w:jc w:val="center"/>
        <w:rPr>
          <w:rFonts w:ascii="仿宋_GB2312" w:eastAsia="仿宋_GB2312"/>
        </w:rPr>
      </w:pPr>
      <w:bookmarkStart w:id="92" w:name="_Toc123786888"/>
      <w:bookmarkStart w:id="93" w:name="_Toc315963014"/>
      <w:r>
        <w:rPr>
          <w:rFonts w:hint="eastAsia" w:ascii="宋体" w:hAnsi="宋体" w:eastAsia="宋体" w:cs="宋体"/>
        </w:rPr>
        <w:t>三、投标</w:t>
      </w:r>
      <w:bookmarkEnd w:id="92"/>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4"/>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3"/>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7" w:type="default"/>
          <w:type w:val="nextColumn"/>
          <w:pgSz w:w="11907" w:h="16840"/>
          <w:pgMar w:top="1440" w:right="1474" w:bottom="1440" w:left="1474" w:header="851" w:footer="992" w:gutter="0"/>
          <w:cols w:space="720" w:num="1"/>
          <w:docGrid w:type="lines" w:linePitch="312" w:charSpace="0"/>
        </w:sectPr>
      </w:pPr>
    </w:p>
    <w:p>
      <w:pPr>
        <w:pStyle w:val="4"/>
        <w:snapToGrid w:val="0"/>
        <w:spacing w:before="0" w:after="0" w:line="360" w:lineRule="auto"/>
        <w:jc w:val="center"/>
        <w:rPr>
          <w:rFonts w:ascii="宋体" w:hAnsi="宋体" w:eastAsia="宋体" w:cs="宋体"/>
        </w:rPr>
      </w:pPr>
      <w:bookmarkStart w:id="94" w:name="_Toc217446087"/>
    </w:p>
    <w:p>
      <w:pPr>
        <w:pStyle w:val="4"/>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4"/>
    </w:p>
    <w:p>
      <w:pPr>
        <w:pStyle w:val="13"/>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ascii="宋体" w:hAnsi="宋体" w:eastAsia="宋体" w:cs="宋体"/>
        </w:rPr>
      </w:pPr>
      <w:r>
        <w:rPr>
          <w:rFonts w:hint="eastAsia" w:ascii="宋体" w:hAnsi="宋体" w:eastAsia="宋体" w:cs="宋体"/>
        </w:rPr>
        <w:t>七、投标人认为有必要补充说明的相关信息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pStyle w:val="3"/>
        <w:snapToGrid w:val="0"/>
        <w:spacing w:before="0" w:after="283" w:afterLines="60" w:line="360" w:lineRule="auto"/>
        <w:jc w:val="center"/>
        <w:rPr>
          <w:rFonts w:hint="eastAsia" w:hAnsi="宋体"/>
          <w:sz w:val="32"/>
          <w:szCs w:val="32"/>
        </w:rPr>
      </w:pPr>
      <w:bookmarkStart w:id="95" w:name="_Hlk42504294"/>
    </w:p>
    <w:bookmarkEnd w:id="95"/>
    <w:p>
      <w:pPr>
        <w:pStyle w:val="3"/>
        <w:snapToGrid w:val="0"/>
        <w:spacing w:before="0" w:after="277" w:afterLines="60" w:line="360" w:lineRule="auto"/>
        <w:jc w:val="center"/>
        <w:rPr>
          <w:rFonts w:hAnsi="宋体"/>
          <w:sz w:val="32"/>
          <w:szCs w:val="32"/>
        </w:rPr>
      </w:pPr>
      <w:r>
        <w:rPr>
          <w:rFonts w:hint="eastAsia" w:hAnsi="宋体"/>
          <w:sz w:val="32"/>
          <w:szCs w:val="32"/>
        </w:rPr>
        <w:t>第四章  招标项目技术、商务及其他要求</w:t>
      </w:r>
    </w:p>
    <w:p>
      <w:pPr>
        <w:adjustRightInd w:val="0"/>
        <w:snapToGrid w:val="0"/>
        <w:spacing w:line="360" w:lineRule="auto"/>
        <w:ind w:firstLine="483" w:firstLineChars="188"/>
        <w:jc w:val="left"/>
        <w:rPr>
          <w:rFonts w:hAnsi="宋体" w:cs="宋体"/>
          <w:b/>
          <w:bCs/>
          <w:spacing w:val="8"/>
          <w:sz w:val="24"/>
          <w:szCs w:val="24"/>
        </w:rPr>
      </w:pPr>
      <w:r>
        <w:rPr>
          <w:rFonts w:hint="eastAsia" w:hAnsi="宋体" w:cs="宋体"/>
          <w:b/>
          <w:bCs/>
          <w:spacing w:val="8"/>
          <w:sz w:val="24"/>
          <w:szCs w:val="24"/>
        </w:rPr>
        <w:t>一、项目基本情况</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职工体检系我校每年均要开展的常规工作，本次采购四川铁道职业学院内江校区2023年教职工体检服务，将选择确定一家医院为成交供应商。</w:t>
      </w:r>
    </w:p>
    <w:p>
      <w:pPr>
        <w:spacing w:line="312" w:lineRule="atLeast"/>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 xml:space="preserve">    二、服务内容</w:t>
      </w:r>
    </w:p>
    <w:p>
      <w:pPr>
        <w:ind w:firstLine="480" w:firstLineChars="200"/>
        <w:jc w:val="left"/>
        <w:rPr>
          <w:rFonts w:hAnsi="宋体" w:cs="仿宋"/>
          <w:sz w:val="24"/>
          <w:szCs w:val="24"/>
          <w:lang w:val="zh-TW" w:eastAsia="zh-TW"/>
        </w:rPr>
      </w:pPr>
      <w:r>
        <w:rPr>
          <w:rFonts w:hint="eastAsia" w:hAnsi="宋体" w:cs="仿宋"/>
          <w:sz w:val="24"/>
          <w:szCs w:val="24"/>
          <w:lang w:val="zh-TW" w:eastAsia="zh-TW"/>
        </w:rPr>
        <w:t>★</w:t>
      </w:r>
      <w:r>
        <w:rPr>
          <w:rFonts w:hint="eastAsia" w:hAnsi="宋体" w:cs="仿宋"/>
          <w:sz w:val="24"/>
          <w:szCs w:val="24"/>
          <w:lang w:val="zh-TW"/>
        </w:rPr>
        <w:t>1.</w:t>
      </w:r>
      <w:r>
        <w:rPr>
          <w:rFonts w:hint="eastAsia" w:hAnsi="宋体" w:cs="仿宋"/>
          <w:sz w:val="24"/>
          <w:szCs w:val="24"/>
          <w:lang w:val="zh-TW" w:eastAsia="zh-TW"/>
        </w:rPr>
        <w:t>体检日程安排应充分考虑受检人教师的工作特点，提前沟通、衔接，以便于教师调课、上课，以及体检接送安排。</w:t>
      </w:r>
    </w:p>
    <w:p>
      <w:pPr>
        <w:ind w:firstLine="480" w:firstLineChars="200"/>
        <w:jc w:val="left"/>
        <w:rPr>
          <w:rFonts w:hAnsi="宋体" w:cs="仿宋"/>
          <w:sz w:val="24"/>
          <w:szCs w:val="24"/>
          <w:lang w:val="zh-TW" w:eastAsia="zh-TW"/>
        </w:rPr>
      </w:pPr>
      <w:r>
        <w:rPr>
          <w:rFonts w:hint="eastAsia" w:hAnsi="宋体" w:cs="仿宋"/>
          <w:sz w:val="24"/>
          <w:szCs w:val="24"/>
          <w:lang w:val="zh-TW" w:eastAsia="zh-TW"/>
        </w:rPr>
        <w:t>★</w:t>
      </w:r>
      <w:r>
        <w:rPr>
          <w:rFonts w:hint="eastAsia" w:hAnsi="宋体" w:cs="仿宋"/>
          <w:sz w:val="24"/>
          <w:szCs w:val="24"/>
          <w:lang w:val="zh-TW"/>
        </w:rPr>
        <w:t>2.</w:t>
      </w:r>
      <w:r>
        <w:rPr>
          <w:rFonts w:hint="eastAsia" w:hAnsi="宋体" w:cs="仿宋"/>
          <w:sz w:val="24"/>
          <w:szCs w:val="24"/>
          <w:lang w:val="zh-TW" w:eastAsia="zh-TW"/>
        </w:rPr>
        <w:t>所检项目无遗漏，重要指标检出异常严重情况时，应在24小时内通知采购方联系人及本人，并尽快安排进行复查。</w:t>
      </w:r>
    </w:p>
    <w:p>
      <w:pPr>
        <w:ind w:firstLine="480" w:firstLineChars="200"/>
        <w:jc w:val="left"/>
        <w:rPr>
          <w:rFonts w:hAnsi="宋体" w:cs="仿宋"/>
          <w:sz w:val="24"/>
          <w:szCs w:val="24"/>
          <w:lang w:val="zh-TW" w:eastAsia="zh-TW"/>
        </w:rPr>
      </w:pPr>
      <w:r>
        <w:rPr>
          <w:rFonts w:hint="eastAsia" w:hAnsi="宋体" w:cs="仿宋"/>
          <w:sz w:val="24"/>
          <w:szCs w:val="24"/>
          <w:lang w:val="zh-TW"/>
        </w:rPr>
        <w:t>3.</w:t>
      </w:r>
      <w:r>
        <w:rPr>
          <w:rFonts w:hint="eastAsia" w:hAnsi="宋体" w:cs="仿宋"/>
          <w:sz w:val="24"/>
          <w:szCs w:val="24"/>
          <w:lang w:val="zh-TW" w:eastAsia="zh-TW"/>
        </w:rPr>
        <w:t>发现重大疾病，12小时内通知，并视情况安排在三甲医院或以上挂号、预约、住院及就医等绿色通道服务。</w:t>
      </w:r>
    </w:p>
    <w:p>
      <w:pPr>
        <w:ind w:firstLine="480" w:firstLineChars="200"/>
        <w:jc w:val="left"/>
        <w:rPr>
          <w:rFonts w:hAnsi="宋体" w:cs="仿宋"/>
          <w:sz w:val="24"/>
          <w:szCs w:val="24"/>
          <w:lang w:val="zh-TW" w:eastAsia="zh-TW"/>
        </w:rPr>
      </w:pPr>
      <w:r>
        <w:rPr>
          <w:rFonts w:hint="eastAsia" w:hAnsi="宋体" w:cs="仿宋"/>
          <w:sz w:val="24"/>
          <w:szCs w:val="24"/>
          <w:lang w:val="zh-TW" w:eastAsia="zh-TW"/>
        </w:rPr>
        <w:t>★</w:t>
      </w:r>
      <w:r>
        <w:rPr>
          <w:rFonts w:hint="eastAsia" w:hAnsi="宋体" w:cs="仿宋"/>
          <w:sz w:val="24"/>
          <w:szCs w:val="24"/>
          <w:lang w:val="zh-TW"/>
        </w:rPr>
        <w:t>4.</w:t>
      </w:r>
      <w:r>
        <w:rPr>
          <w:rFonts w:hint="eastAsia" w:hAnsi="宋体" w:cs="仿宋"/>
          <w:sz w:val="24"/>
          <w:szCs w:val="24"/>
          <w:lang w:val="zh-TW" w:eastAsia="zh-TW"/>
        </w:rPr>
        <w:t>体检报告（个人的、单位的报告）除进行常规的数据分析外，应提供相应的保健知识，以及个性化的健康促进计划，并针对性地提供后续讲座或培训等活动。</w:t>
      </w:r>
    </w:p>
    <w:p>
      <w:pPr>
        <w:ind w:firstLine="480" w:firstLineChars="200"/>
        <w:jc w:val="left"/>
        <w:rPr>
          <w:rFonts w:hAnsi="宋体" w:cs="仿宋"/>
          <w:sz w:val="24"/>
          <w:szCs w:val="24"/>
          <w:lang w:val="zh-TW" w:eastAsia="zh-TW"/>
        </w:rPr>
      </w:pPr>
      <w:r>
        <w:rPr>
          <w:rFonts w:hint="eastAsia" w:hAnsi="宋体" w:cs="仿宋"/>
          <w:sz w:val="24"/>
          <w:szCs w:val="24"/>
          <w:lang w:val="zh-TW" w:eastAsia="zh-TW"/>
        </w:rPr>
        <w:t>★</w:t>
      </w:r>
      <w:r>
        <w:rPr>
          <w:rFonts w:hint="eastAsia" w:hAnsi="宋体" w:cs="仿宋"/>
          <w:sz w:val="24"/>
          <w:szCs w:val="24"/>
          <w:lang w:val="zh-TW"/>
        </w:rPr>
        <w:t>5.</w:t>
      </w:r>
      <w:r>
        <w:rPr>
          <w:rFonts w:hint="eastAsia" w:hAnsi="宋体" w:cs="仿宋"/>
          <w:sz w:val="24"/>
          <w:szCs w:val="24"/>
          <w:lang w:val="zh-TW" w:eastAsia="zh-TW"/>
        </w:rPr>
        <w:t>体检结束后，供应商需为受检者做一次或以上体检结果解读和健康辅导。</w:t>
      </w:r>
    </w:p>
    <w:p>
      <w:pPr>
        <w:ind w:firstLine="480" w:firstLineChars="200"/>
        <w:jc w:val="left"/>
        <w:rPr>
          <w:rFonts w:hAnsi="宋体" w:cs="仿宋"/>
          <w:sz w:val="24"/>
          <w:szCs w:val="24"/>
          <w:lang w:val="zh-TW" w:eastAsia="zh-TW"/>
        </w:rPr>
      </w:pPr>
      <w:r>
        <w:rPr>
          <w:rFonts w:hint="eastAsia" w:hAnsi="宋体" w:cs="仿宋"/>
          <w:sz w:val="24"/>
          <w:szCs w:val="24"/>
          <w:lang w:val="zh-TW" w:eastAsia="zh-TW"/>
        </w:rPr>
        <w:t>★</w:t>
      </w:r>
      <w:r>
        <w:rPr>
          <w:rFonts w:hint="eastAsia" w:hAnsi="宋体" w:cs="仿宋"/>
          <w:sz w:val="24"/>
          <w:szCs w:val="24"/>
          <w:lang w:val="zh-TW"/>
        </w:rPr>
        <w:t>6.</w:t>
      </w:r>
      <w:r>
        <w:rPr>
          <w:rFonts w:hint="eastAsia" w:hAnsi="宋体" w:cs="仿宋"/>
          <w:sz w:val="24"/>
          <w:szCs w:val="24"/>
          <w:lang w:val="zh-TW" w:eastAsia="zh-TW"/>
        </w:rPr>
        <w:t>供应商在收到采购人全部体检金额三个工作日内，向采购人送达体检报告（报告类型分为纸质和电子版本，纸质版体检报告应当密封完好）。</w:t>
      </w:r>
    </w:p>
    <w:p>
      <w:pPr>
        <w:ind w:firstLine="480" w:firstLineChars="200"/>
        <w:jc w:val="left"/>
        <w:rPr>
          <w:rFonts w:hAnsi="宋体" w:cs="仿宋"/>
          <w:sz w:val="24"/>
          <w:szCs w:val="24"/>
          <w:lang w:val="zh-TW" w:eastAsia="zh-TW"/>
        </w:rPr>
      </w:pPr>
      <w:r>
        <w:rPr>
          <w:rFonts w:hint="eastAsia" w:hAnsi="宋体" w:cs="仿宋"/>
          <w:sz w:val="24"/>
          <w:szCs w:val="24"/>
          <w:lang w:val="zh-TW" w:eastAsia="zh-TW"/>
        </w:rPr>
        <w:t>★</w:t>
      </w:r>
      <w:r>
        <w:rPr>
          <w:rFonts w:hint="eastAsia" w:hAnsi="宋体" w:cs="仿宋"/>
          <w:sz w:val="24"/>
          <w:szCs w:val="24"/>
          <w:lang w:val="zh-TW"/>
        </w:rPr>
        <w:t>7.</w:t>
      </w:r>
      <w:r>
        <w:rPr>
          <w:rFonts w:hint="eastAsia" w:hAnsi="宋体" w:cs="仿宋"/>
          <w:sz w:val="24"/>
          <w:szCs w:val="24"/>
          <w:lang w:val="zh-TW" w:eastAsia="zh-TW"/>
        </w:rPr>
        <w:t>服务质量要求：供应商承诺保证向采购人提供专场体检时间，不得与其他单位交叉，每天的体检人数应控制在适当的范围内，以确保服务流程顺畅，保障对每一名受检人员的体检服务质量。（提供承诺函，格式自拟）</w:t>
      </w:r>
    </w:p>
    <w:p>
      <w:pPr>
        <w:ind w:firstLine="480" w:firstLineChars="200"/>
        <w:jc w:val="left"/>
        <w:rPr>
          <w:rFonts w:hAnsi="宋体" w:cs="仿宋"/>
          <w:sz w:val="24"/>
          <w:szCs w:val="24"/>
          <w:lang w:val="zh-TW" w:eastAsia="zh-TW"/>
        </w:rPr>
      </w:pPr>
      <w:r>
        <w:rPr>
          <w:rFonts w:hint="eastAsia" w:hAnsi="宋体" w:cs="仿宋"/>
          <w:sz w:val="24"/>
          <w:szCs w:val="24"/>
          <w:lang w:val="zh-TW"/>
        </w:rPr>
        <w:t>8.</w:t>
      </w:r>
      <w:r>
        <w:rPr>
          <w:rFonts w:hint="eastAsia" w:hAnsi="宋体" w:cs="仿宋"/>
          <w:sz w:val="24"/>
          <w:szCs w:val="24"/>
          <w:lang w:val="zh-TW" w:eastAsia="zh-TW"/>
        </w:rPr>
        <w:t>尽可能能提供体检专场，体检需安排专车往返接送全部参检人员。</w:t>
      </w:r>
    </w:p>
    <w:p>
      <w:pPr>
        <w:ind w:firstLine="480" w:firstLineChars="200"/>
        <w:jc w:val="left"/>
        <w:rPr>
          <w:rFonts w:hAnsi="宋体" w:cs="仿宋"/>
          <w:sz w:val="24"/>
          <w:szCs w:val="24"/>
          <w:lang w:val="zh-TW" w:eastAsia="zh-TW"/>
        </w:rPr>
      </w:pPr>
      <w:r>
        <w:rPr>
          <w:rFonts w:hint="eastAsia" w:hAnsi="宋体" w:cs="仿宋"/>
          <w:sz w:val="24"/>
          <w:szCs w:val="24"/>
          <w:lang w:val="zh-TW" w:eastAsia="zh-TW"/>
        </w:rPr>
        <w:t>★</w:t>
      </w:r>
      <w:r>
        <w:rPr>
          <w:rFonts w:hint="eastAsia" w:hAnsi="宋体" w:cs="仿宋"/>
          <w:sz w:val="24"/>
          <w:szCs w:val="24"/>
          <w:lang w:val="zh-TW"/>
        </w:rPr>
        <w:t>9.</w:t>
      </w:r>
      <w:r>
        <w:rPr>
          <w:rFonts w:hint="eastAsia" w:hAnsi="宋体" w:cs="仿宋"/>
          <w:sz w:val="24"/>
          <w:szCs w:val="24"/>
          <w:lang w:val="zh-TW" w:eastAsia="zh-TW"/>
        </w:rPr>
        <w:t>教职工家属享受同等体检折扣。</w:t>
      </w:r>
    </w:p>
    <w:p>
      <w:pPr>
        <w:ind w:firstLine="480" w:firstLineChars="200"/>
        <w:jc w:val="left"/>
        <w:rPr>
          <w:rFonts w:hAnsi="宋体" w:cs="仿宋"/>
          <w:sz w:val="24"/>
          <w:szCs w:val="24"/>
          <w:lang w:val="zh-TW" w:eastAsia="zh-TW"/>
        </w:rPr>
      </w:pPr>
      <w:r>
        <w:rPr>
          <w:rFonts w:hint="eastAsia" w:hAnsi="宋体" w:cs="仿宋"/>
          <w:sz w:val="24"/>
          <w:szCs w:val="24"/>
          <w:lang w:val="zh-TW" w:eastAsia="zh-TW"/>
        </w:rPr>
        <w:t>★</w:t>
      </w:r>
      <w:r>
        <w:rPr>
          <w:rFonts w:hint="eastAsia" w:hAnsi="宋体" w:cs="仿宋"/>
          <w:sz w:val="24"/>
          <w:szCs w:val="24"/>
          <w:lang w:val="zh-TW"/>
        </w:rPr>
        <w:t>10.</w:t>
      </w:r>
      <w:r>
        <w:rPr>
          <w:rFonts w:hint="eastAsia" w:hAnsi="宋体" w:cs="仿宋"/>
          <w:sz w:val="24"/>
          <w:szCs w:val="24"/>
          <w:lang w:val="zh-TW" w:eastAsia="zh-TW"/>
        </w:rPr>
        <w:t>保障能力要求：</w:t>
      </w:r>
    </w:p>
    <w:p>
      <w:pPr>
        <w:ind w:firstLine="480" w:firstLineChars="200"/>
        <w:jc w:val="left"/>
        <w:rPr>
          <w:rFonts w:hAnsi="宋体" w:cs="仿宋"/>
          <w:sz w:val="24"/>
          <w:szCs w:val="24"/>
          <w:lang w:val="zh-TW" w:eastAsia="zh-TW"/>
        </w:rPr>
      </w:pPr>
      <w:r>
        <w:rPr>
          <w:rFonts w:hint="eastAsia" w:hAnsi="宋体" w:cs="仿宋"/>
          <w:sz w:val="24"/>
          <w:szCs w:val="24"/>
          <w:lang w:val="zh-TW"/>
        </w:rPr>
        <w:t>10.1</w:t>
      </w:r>
      <w:r>
        <w:rPr>
          <w:rFonts w:hint="eastAsia" w:hAnsi="宋体" w:cs="仿宋"/>
          <w:sz w:val="24"/>
          <w:szCs w:val="24"/>
          <w:lang w:val="zh-TW" w:eastAsia="zh-TW"/>
        </w:rPr>
        <w:t>有独立的体检中心或体检场所（不接受体检车或临时搭建场所体检）。</w:t>
      </w:r>
    </w:p>
    <w:p>
      <w:pPr>
        <w:ind w:firstLine="480" w:firstLineChars="200"/>
        <w:jc w:val="left"/>
        <w:rPr>
          <w:rFonts w:hAnsi="宋体" w:cs="仿宋"/>
          <w:sz w:val="24"/>
          <w:szCs w:val="24"/>
          <w:lang w:val="zh-TW" w:eastAsia="zh-TW"/>
        </w:rPr>
      </w:pPr>
      <w:r>
        <w:rPr>
          <w:rFonts w:hint="eastAsia" w:hAnsi="宋体" w:cs="仿宋"/>
          <w:sz w:val="24"/>
          <w:szCs w:val="24"/>
          <w:lang w:val="zh-TW"/>
        </w:rPr>
        <w:t>10.2</w:t>
      </w:r>
      <w:r>
        <w:rPr>
          <w:rFonts w:hint="eastAsia" w:hAnsi="宋体" w:cs="仿宋"/>
          <w:sz w:val="24"/>
          <w:szCs w:val="24"/>
          <w:lang w:val="zh-TW" w:eastAsia="zh-TW"/>
        </w:rPr>
        <w:t>供应商应保证体检日的体检安排在上午进行（根据采购人安排，若有特殊情况可安排在下午）。</w:t>
      </w:r>
    </w:p>
    <w:p>
      <w:pPr>
        <w:ind w:firstLine="480" w:firstLineChars="200"/>
        <w:jc w:val="left"/>
        <w:rPr>
          <w:rFonts w:hAnsi="宋体" w:cs="仿宋"/>
          <w:sz w:val="24"/>
          <w:szCs w:val="24"/>
          <w:lang w:val="zh-TW" w:eastAsia="zh-TW"/>
        </w:rPr>
      </w:pPr>
      <w:r>
        <w:rPr>
          <w:rFonts w:hint="eastAsia" w:hAnsi="宋体" w:cs="仿宋"/>
          <w:sz w:val="24"/>
          <w:szCs w:val="24"/>
          <w:lang w:val="zh-TW"/>
        </w:rPr>
        <w:t>10.3</w:t>
      </w:r>
      <w:r>
        <w:rPr>
          <w:rFonts w:hint="eastAsia" w:hAnsi="宋体" w:cs="仿宋"/>
          <w:sz w:val="24"/>
          <w:szCs w:val="24"/>
          <w:lang w:val="zh-TW" w:eastAsia="zh-TW"/>
        </w:rPr>
        <w:t>供应商应为参检人员提供体检早餐。（费用包含在本次报价中）</w:t>
      </w:r>
    </w:p>
    <w:p>
      <w:pPr>
        <w:ind w:firstLine="480" w:firstLineChars="200"/>
        <w:jc w:val="left"/>
        <w:rPr>
          <w:rFonts w:hAnsi="宋体" w:cs="仿宋"/>
          <w:sz w:val="24"/>
          <w:szCs w:val="24"/>
          <w:lang w:val="zh-TW" w:eastAsia="zh-TW"/>
        </w:rPr>
      </w:pPr>
      <w:r>
        <w:rPr>
          <w:rFonts w:hint="eastAsia" w:hAnsi="宋体" w:cs="仿宋"/>
          <w:sz w:val="24"/>
          <w:szCs w:val="24"/>
          <w:lang w:val="zh-TW"/>
        </w:rPr>
        <w:t>10.4</w:t>
      </w:r>
      <w:r>
        <w:rPr>
          <w:rFonts w:hint="eastAsia" w:hAnsi="宋体" w:cs="仿宋"/>
          <w:sz w:val="24"/>
          <w:szCs w:val="24"/>
          <w:lang w:val="zh-TW" w:eastAsia="zh-TW"/>
        </w:rPr>
        <w:t>供应商应根据采购人需求协调安排体检时间，并保证体检的工作顺利开展。体检人员因工作原因未能参加体检，供应商须为其安排补检时间。</w:t>
      </w:r>
    </w:p>
    <w:p>
      <w:pPr>
        <w:ind w:firstLine="480" w:firstLineChars="200"/>
        <w:jc w:val="left"/>
        <w:rPr>
          <w:rFonts w:hAnsi="宋体" w:cs="仿宋"/>
          <w:sz w:val="24"/>
          <w:szCs w:val="24"/>
          <w:lang w:val="zh-TW" w:eastAsia="zh-TW"/>
        </w:rPr>
      </w:pPr>
      <w:r>
        <w:rPr>
          <w:rFonts w:hint="eastAsia" w:hAnsi="宋体" w:cs="仿宋"/>
          <w:sz w:val="24"/>
          <w:szCs w:val="24"/>
          <w:lang w:val="zh-TW"/>
        </w:rPr>
        <w:t>10.5</w:t>
      </w:r>
      <w:r>
        <w:rPr>
          <w:rFonts w:hint="eastAsia" w:hAnsi="宋体" w:cs="仿宋"/>
          <w:sz w:val="24"/>
          <w:szCs w:val="24"/>
          <w:lang w:val="zh-TW" w:eastAsia="zh-TW"/>
        </w:rPr>
        <w:t>确保体检人员在每一个环节的隐私保护；按照采购人提供的体检人员名单进行体检，认真核对受检者身份（要求出具身份证），不能出现冒名顶替现象。</w:t>
      </w:r>
    </w:p>
    <w:p>
      <w:pPr>
        <w:ind w:firstLine="480" w:firstLineChars="200"/>
        <w:jc w:val="left"/>
        <w:rPr>
          <w:rFonts w:hAnsi="宋体" w:cs="仿宋"/>
          <w:sz w:val="24"/>
          <w:szCs w:val="24"/>
          <w:lang w:val="zh-TW" w:eastAsia="zh-TW"/>
        </w:rPr>
      </w:pPr>
      <w:r>
        <w:rPr>
          <w:rFonts w:hint="eastAsia" w:hAnsi="宋体" w:cs="仿宋"/>
          <w:sz w:val="24"/>
          <w:szCs w:val="24"/>
          <w:lang w:val="zh-TW" w:eastAsia="zh-TW"/>
        </w:rPr>
        <w:t>★</w:t>
      </w:r>
      <w:r>
        <w:rPr>
          <w:rFonts w:hint="eastAsia" w:hAnsi="宋体" w:cs="仿宋"/>
          <w:sz w:val="24"/>
          <w:szCs w:val="24"/>
          <w:lang w:val="zh-TW"/>
        </w:rPr>
        <w:t>11.</w:t>
      </w:r>
      <w:r>
        <w:rPr>
          <w:rFonts w:hint="eastAsia" w:hAnsi="宋体" w:cs="仿宋"/>
          <w:sz w:val="24"/>
          <w:szCs w:val="24"/>
          <w:lang w:val="zh-TW" w:eastAsia="zh-TW"/>
        </w:rPr>
        <w:t>基本主要体检设备配置要求：</w:t>
      </w:r>
    </w:p>
    <w:p>
      <w:pPr>
        <w:ind w:firstLine="480" w:firstLineChars="200"/>
        <w:jc w:val="left"/>
        <w:rPr>
          <w:rFonts w:hAnsi="宋体" w:cs="仿宋"/>
          <w:sz w:val="24"/>
          <w:szCs w:val="24"/>
          <w:lang w:val="zh-TW" w:eastAsia="zh-TW"/>
        </w:rPr>
      </w:pPr>
      <w:r>
        <w:rPr>
          <w:rFonts w:hint="eastAsia" w:hAnsi="宋体" w:cs="仿宋"/>
          <w:sz w:val="24"/>
          <w:szCs w:val="24"/>
          <w:lang w:val="zh-TW"/>
        </w:rPr>
        <w:t>11.1</w:t>
      </w:r>
      <w:r>
        <w:rPr>
          <w:rFonts w:hint="eastAsia" w:hAnsi="宋体" w:cs="仿宋"/>
          <w:sz w:val="24"/>
          <w:szCs w:val="24"/>
          <w:lang w:val="zh-TW" w:eastAsia="zh-TW"/>
        </w:rPr>
        <w:t>供应商须为本项目配备符合国家医疗标准的设备：彩超</w:t>
      </w:r>
      <w:r>
        <w:rPr>
          <w:rFonts w:hint="eastAsia" w:hAnsi="宋体" w:cs="仿宋"/>
          <w:sz w:val="24"/>
          <w:szCs w:val="24"/>
          <w:lang w:val="zh-TW"/>
        </w:rPr>
        <w:t>3</w:t>
      </w:r>
      <w:r>
        <w:rPr>
          <w:rFonts w:hint="eastAsia" w:hAnsi="宋体" w:cs="仿宋"/>
          <w:sz w:val="24"/>
          <w:szCs w:val="24"/>
          <w:lang w:val="zh-TW" w:eastAsia="zh-TW"/>
        </w:rPr>
        <w:t>台，CT仪1台。</w:t>
      </w:r>
    </w:p>
    <w:p>
      <w:pPr>
        <w:ind w:firstLine="480" w:firstLineChars="200"/>
        <w:jc w:val="left"/>
        <w:rPr>
          <w:rFonts w:hAnsi="宋体" w:cs="仿宋"/>
          <w:sz w:val="24"/>
          <w:szCs w:val="24"/>
          <w:lang w:val="zh-TW" w:eastAsia="zh-TW"/>
        </w:rPr>
      </w:pPr>
      <w:r>
        <w:rPr>
          <w:rFonts w:hint="eastAsia" w:hAnsi="宋体" w:cs="仿宋"/>
          <w:sz w:val="24"/>
          <w:szCs w:val="24"/>
          <w:lang w:val="zh-TW"/>
        </w:rPr>
        <w:t>11.2</w:t>
      </w:r>
      <w:r>
        <w:rPr>
          <w:rFonts w:hint="eastAsia" w:hAnsi="宋体" w:cs="仿宋"/>
          <w:sz w:val="24"/>
          <w:szCs w:val="24"/>
          <w:lang w:val="zh-TW" w:eastAsia="zh-TW"/>
        </w:rPr>
        <w:t>重要体检项目（生化检查、彩超检查、CT放射检查等）所使用的设备要求采用专业设备。</w:t>
      </w:r>
    </w:p>
    <w:p>
      <w:pPr>
        <w:ind w:firstLine="480" w:firstLineChars="200"/>
        <w:jc w:val="left"/>
        <w:rPr>
          <w:rFonts w:hAnsi="宋体" w:cs="仿宋"/>
          <w:sz w:val="24"/>
          <w:szCs w:val="24"/>
          <w:lang w:val="zh-TW" w:eastAsia="zh-TW"/>
        </w:rPr>
      </w:pPr>
      <w:r>
        <w:rPr>
          <w:rFonts w:hint="eastAsia" w:hAnsi="宋体" w:cs="仿宋"/>
          <w:sz w:val="24"/>
          <w:szCs w:val="24"/>
          <w:lang w:val="zh-TW"/>
        </w:rPr>
        <w:t>11.3</w:t>
      </w:r>
      <w:r>
        <w:rPr>
          <w:rFonts w:hint="eastAsia" w:hAnsi="宋体" w:cs="仿宋"/>
          <w:sz w:val="24"/>
          <w:szCs w:val="24"/>
          <w:lang w:val="zh-TW" w:eastAsia="zh-TW"/>
        </w:rPr>
        <w:t>本项目所需的医疗检查设备与检验仪器的种类、数量、性能、量程、精度能满足工作需要，并能良好运行，定期校验，仪器设备有完整的操作规程。</w:t>
      </w:r>
    </w:p>
    <w:p>
      <w:pPr>
        <w:ind w:firstLine="480" w:firstLineChars="200"/>
        <w:jc w:val="left"/>
        <w:rPr>
          <w:rFonts w:hAnsi="宋体" w:cs="仿宋"/>
          <w:sz w:val="24"/>
          <w:szCs w:val="24"/>
          <w:lang w:val="zh-TW" w:eastAsia="zh-TW"/>
        </w:rPr>
      </w:pPr>
      <w:r>
        <w:rPr>
          <w:rFonts w:hint="eastAsia" w:hAnsi="宋体" w:cs="仿宋"/>
          <w:sz w:val="24"/>
          <w:szCs w:val="24"/>
          <w:lang w:val="zh-TW" w:eastAsia="zh-TW"/>
        </w:rPr>
        <w:t>★</w:t>
      </w:r>
      <w:r>
        <w:rPr>
          <w:rFonts w:hint="eastAsia" w:hAnsi="宋体" w:cs="仿宋"/>
          <w:sz w:val="24"/>
          <w:szCs w:val="24"/>
          <w:lang w:val="zh-TW"/>
        </w:rPr>
        <w:t>12</w:t>
      </w:r>
      <w:r>
        <w:rPr>
          <w:rFonts w:hint="eastAsia" w:hAnsi="宋体" w:cs="仿宋"/>
          <w:sz w:val="24"/>
          <w:szCs w:val="24"/>
          <w:lang w:val="zh-TW" w:eastAsia="zh-TW"/>
        </w:rPr>
        <w:t>人员要求：</w:t>
      </w:r>
    </w:p>
    <w:p>
      <w:pPr>
        <w:ind w:firstLine="480" w:firstLineChars="200"/>
        <w:jc w:val="left"/>
        <w:rPr>
          <w:rFonts w:hAnsi="宋体" w:cs="仿宋"/>
          <w:sz w:val="24"/>
          <w:szCs w:val="24"/>
          <w:lang w:val="zh-TW" w:eastAsia="zh-TW"/>
        </w:rPr>
      </w:pPr>
      <w:r>
        <w:rPr>
          <w:rFonts w:hint="eastAsia" w:hAnsi="宋体" w:cs="仿宋"/>
          <w:sz w:val="24"/>
          <w:szCs w:val="24"/>
          <w:lang w:val="zh-TW"/>
        </w:rPr>
        <w:t>12.1</w:t>
      </w:r>
      <w:r>
        <w:rPr>
          <w:rFonts w:hint="eastAsia" w:hAnsi="宋体" w:cs="仿宋"/>
          <w:sz w:val="24"/>
          <w:szCs w:val="24"/>
          <w:lang w:val="zh-TW" w:eastAsia="zh-TW"/>
        </w:rPr>
        <w:t>为本项目配置的医疗技术人员：</w:t>
      </w:r>
    </w:p>
    <w:p>
      <w:pPr>
        <w:ind w:firstLine="480" w:firstLineChars="200"/>
        <w:jc w:val="left"/>
        <w:rPr>
          <w:rFonts w:hAnsi="宋体" w:cs="仿宋"/>
          <w:sz w:val="24"/>
          <w:szCs w:val="24"/>
          <w:lang w:val="zh-TW"/>
        </w:rPr>
      </w:pPr>
      <w:r>
        <w:rPr>
          <w:rFonts w:hint="eastAsia" w:hAnsi="宋体" w:cs="仿宋"/>
          <w:sz w:val="24"/>
          <w:szCs w:val="24"/>
          <w:lang w:val="zh-TW" w:eastAsia="zh-TW"/>
        </w:rPr>
        <w:t>具有2名内科</w:t>
      </w:r>
      <w:r>
        <w:rPr>
          <w:rFonts w:hint="eastAsia" w:hAnsi="宋体" w:cs="仿宋"/>
          <w:sz w:val="24"/>
          <w:szCs w:val="24"/>
          <w:lang w:val="zh-TW"/>
        </w:rPr>
        <w:t>及</w:t>
      </w:r>
      <w:r>
        <w:rPr>
          <w:rFonts w:hint="eastAsia" w:hAnsi="宋体" w:cs="仿宋"/>
          <w:sz w:val="24"/>
          <w:szCs w:val="24"/>
          <w:lang w:val="zh-TW" w:eastAsia="zh-TW"/>
        </w:rPr>
        <w:t>外科副高（含）以上专业技术职务任职资格的执业医师，每个检查项目具有1名中级（含）以上专业技术职务任职资格的执业医师</w:t>
      </w:r>
      <w:r>
        <w:rPr>
          <w:rFonts w:hint="eastAsia" w:hAnsi="宋体" w:cs="仿宋"/>
          <w:sz w:val="24"/>
          <w:szCs w:val="24"/>
          <w:lang w:val="zh-TW"/>
        </w:rPr>
        <w:t>。</w:t>
      </w:r>
    </w:p>
    <w:p>
      <w:pPr>
        <w:ind w:firstLine="480" w:firstLineChars="200"/>
        <w:jc w:val="left"/>
        <w:rPr>
          <w:rFonts w:hAnsi="宋体" w:cs="仿宋"/>
          <w:sz w:val="24"/>
          <w:szCs w:val="24"/>
          <w:lang w:val="zh-TW" w:eastAsia="zh-TW"/>
        </w:rPr>
      </w:pPr>
      <w:r>
        <w:rPr>
          <w:rFonts w:hint="eastAsia" w:hAnsi="宋体" w:cs="仿宋"/>
          <w:sz w:val="24"/>
          <w:szCs w:val="24"/>
          <w:lang w:val="zh-TW"/>
        </w:rPr>
        <w:t>12.2</w:t>
      </w:r>
      <w:r>
        <w:rPr>
          <w:rFonts w:hint="eastAsia" w:hAnsi="宋体" w:cs="仿宋"/>
          <w:sz w:val="24"/>
          <w:szCs w:val="24"/>
          <w:lang w:val="zh-TW" w:eastAsia="zh-TW"/>
        </w:rPr>
        <w:t>参检的医务人员均须具备国家规定的医师执业资格或护士执业资格（已在供应商单位注册）并在卫生行政管理部门备案（供应商须在响应文件中提供承诺函原件，加盖供应商鲜章）。</w:t>
      </w:r>
    </w:p>
    <w:p>
      <w:pPr>
        <w:ind w:firstLine="480" w:firstLineChars="200"/>
        <w:jc w:val="left"/>
        <w:rPr>
          <w:rFonts w:hAnsi="宋体" w:cs="仿宋"/>
          <w:sz w:val="24"/>
          <w:szCs w:val="24"/>
          <w:lang w:val="zh-TW" w:eastAsia="zh-TW"/>
        </w:rPr>
      </w:pPr>
      <w:r>
        <w:rPr>
          <w:rFonts w:hint="eastAsia" w:hAnsi="宋体" w:cs="仿宋"/>
          <w:sz w:val="24"/>
          <w:szCs w:val="24"/>
          <w:lang w:val="zh-TW" w:eastAsia="zh-TW"/>
        </w:rPr>
        <w:t>★</w:t>
      </w:r>
      <w:r>
        <w:rPr>
          <w:rFonts w:hint="eastAsia" w:hAnsi="宋体" w:cs="仿宋"/>
          <w:sz w:val="24"/>
          <w:szCs w:val="24"/>
          <w:lang w:val="zh-TW"/>
        </w:rPr>
        <w:t>13.</w:t>
      </w:r>
      <w:r>
        <w:rPr>
          <w:rFonts w:hint="eastAsia" w:hAnsi="宋体" w:cs="仿宋"/>
          <w:sz w:val="24"/>
          <w:szCs w:val="24"/>
          <w:lang w:val="zh-TW" w:eastAsia="zh-TW"/>
        </w:rPr>
        <w:t>供应商如为连锁性体检机构，须指定其某一家门店参加本次采购活动。</w:t>
      </w:r>
    </w:p>
    <w:p>
      <w:pPr>
        <w:ind w:firstLine="480" w:firstLineChars="200"/>
        <w:jc w:val="left"/>
        <w:rPr>
          <w:rFonts w:hAnsi="宋体" w:cs="仿宋"/>
          <w:sz w:val="24"/>
          <w:szCs w:val="24"/>
          <w:lang w:val="zh-TW"/>
        </w:rPr>
      </w:pPr>
      <w:r>
        <w:rPr>
          <w:rFonts w:hint="eastAsia" w:hAnsi="宋体" w:cs="仿宋"/>
          <w:sz w:val="24"/>
          <w:szCs w:val="24"/>
          <w:lang w:val="zh-TW" w:eastAsia="zh-TW"/>
        </w:rPr>
        <w:t>★</w:t>
      </w:r>
      <w:r>
        <w:rPr>
          <w:rFonts w:hint="eastAsia" w:hAnsi="宋体" w:cs="仿宋"/>
          <w:sz w:val="24"/>
          <w:szCs w:val="24"/>
          <w:lang w:val="zh-TW"/>
        </w:rPr>
        <w:t>14.</w:t>
      </w:r>
      <w:r>
        <w:rPr>
          <w:rFonts w:hint="eastAsia" w:hAnsi="宋体" w:cs="仿宋"/>
          <w:sz w:val="24"/>
          <w:szCs w:val="24"/>
          <w:lang w:val="zh-TW" w:eastAsia="zh-TW"/>
        </w:rPr>
        <w:t>供应商成交后在合同服务期内不得将采购人教职工体检安排到其分支机构、联营机构、下属机构。</w:t>
      </w:r>
    </w:p>
    <w:p>
      <w:pPr>
        <w:ind w:firstLine="480" w:firstLineChars="200"/>
        <w:jc w:val="left"/>
        <w:rPr>
          <w:rFonts w:hAnsi="宋体" w:cs="仿宋"/>
          <w:sz w:val="24"/>
          <w:szCs w:val="24"/>
          <w:lang w:val="zh-TW" w:eastAsia="zh-TW"/>
        </w:rPr>
      </w:pPr>
      <w:r>
        <w:rPr>
          <w:rFonts w:hint="eastAsia" w:hAnsi="宋体" w:cs="仿宋"/>
          <w:sz w:val="24"/>
          <w:szCs w:val="24"/>
          <w:lang w:val="zh-TW" w:eastAsia="zh-TW"/>
        </w:rPr>
        <w:t>★</w:t>
      </w:r>
      <w:r>
        <w:rPr>
          <w:rFonts w:hint="eastAsia" w:hAnsi="宋体" w:cs="仿宋"/>
          <w:sz w:val="24"/>
          <w:szCs w:val="24"/>
          <w:lang w:val="zh-TW"/>
        </w:rPr>
        <w:t>15.</w:t>
      </w:r>
      <w:r>
        <w:rPr>
          <w:rFonts w:hint="eastAsia" w:hAnsi="宋体" w:cs="仿宋"/>
          <w:sz w:val="24"/>
          <w:szCs w:val="24"/>
          <w:lang w:val="zh-TW" w:eastAsia="zh-TW"/>
        </w:rPr>
        <w:t>具体套餐检查项目为：</w:t>
      </w:r>
    </w:p>
    <w:p>
      <w:pPr>
        <w:adjustRightInd w:val="0"/>
        <w:snapToGrid w:val="0"/>
        <w:spacing w:line="360" w:lineRule="auto"/>
        <w:ind w:firstLine="481" w:firstLineChars="188"/>
        <w:jc w:val="left"/>
        <w:rPr>
          <w:rFonts w:hAnsi="宋体" w:cs="宋体"/>
          <w:spacing w:val="8"/>
          <w:sz w:val="24"/>
          <w:szCs w:val="24"/>
        </w:rPr>
      </w:pPr>
      <w:r>
        <w:rPr>
          <w:rFonts w:hint="eastAsia" w:hAnsi="宋体" w:cs="宋体"/>
          <w:spacing w:val="8"/>
          <w:sz w:val="24"/>
          <w:szCs w:val="24"/>
        </w:rPr>
        <w:t>15.1男性基础套餐（必选）</w:t>
      </w:r>
    </w:p>
    <w:tbl>
      <w:tblPr>
        <w:tblStyle w:val="19"/>
        <w:tblW w:w="8804" w:type="dxa"/>
        <w:tblInd w:w="93" w:type="dxa"/>
        <w:tblLayout w:type="autofit"/>
        <w:tblCellMar>
          <w:top w:w="0" w:type="dxa"/>
          <w:left w:w="108" w:type="dxa"/>
          <w:bottom w:w="0" w:type="dxa"/>
          <w:right w:w="108" w:type="dxa"/>
        </w:tblCellMar>
      </w:tblPr>
      <w:tblGrid>
        <w:gridCol w:w="866"/>
        <w:gridCol w:w="1984"/>
        <w:gridCol w:w="5954"/>
      </w:tblGrid>
      <w:tr>
        <w:tblPrEx>
          <w:tblCellMar>
            <w:top w:w="0" w:type="dxa"/>
            <w:left w:w="108" w:type="dxa"/>
            <w:bottom w:w="0" w:type="dxa"/>
            <w:right w:w="108" w:type="dxa"/>
          </w:tblCellMar>
        </w:tblPrEx>
        <w:trPr>
          <w:trHeight w:val="274"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sz w:val="24"/>
                <w:szCs w:val="24"/>
              </w:rPr>
            </w:pPr>
            <w:r>
              <w:rPr>
                <w:rFonts w:hint="eastAsia" w:ascii="黑体" w:hAnsi="黑体" w:eastAsia="黑体" w:cs="宋体"/>
                <w:sz w:val="24"/>
                <w:szCs w:val="24"/>
              </w:rPr>
              <w:t>序号</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sz w:val="24"/>
                <w:szCs w:val="24"/>
              </w:rPr>
            </w:pPr>
            <w:r>
              <w:rPr>
                <w:rFonts w:hint="eastAsia" w:ascii="黑体" w:hAnsi="黑体" w:eastAsia="黑体" w:cs="宋体"/>
                <w:sz w:val="24"/>
                <w:szCs w:val="24"/>
              </w:rPr>
              <w:t>项目</w:t>
            </w:r>
          </w:p>
        </w:tc>
        <w:tc>
          <w:tcPr>
            <w:tcW w:w="59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sz w:val="24"/>
                <w:szCs w:val="24"/>
              </w:rPr>
            </w:pPr>
            <w:r>
              <w:rPr>
                <w:rFonts w:hint="eastAsia" w:ascii="黑体" w:hAnsi="黑体" w:eastAsia="黑体" w:cs="宋体"/>
                <w:sz w:val="24"/>
                <w:szCs w:val="24"/>
              </w:rPr>
              <w:t>具体内容</w:t>
            </w:r>
          </w:p>
        </w:tc>
      </w:tr>
      <w:tr>
        <w:tblPrEx>
          <w:tblCellMar>
            <w:top w:w="0" w:type="dxa"/>
            <w:left w:w="108" w:type="dxa"/>
            <w:bottom w:w="0" w:type="dxa"/>
            <w:right w:w="108" w:type="dxa"/>
          </w:tblCellMar>
        </w:tblPrEx>
        <w:trPr>
          <w:trHeight w:val="254"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1</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一般检查</w:t>
            </w:r>
          </w:p>
        </w:tc>
        <w:tc>
          <w:tcPr>
            <w:tcW w:w="59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判断是否超重、肥胖、消瘦，有无高血压</w:t>
            </w:r>
          </w:p>
        </w:tc>
      </w:tr>
      <w:tr>
        <w:tblPrEx>
          <w:tblCellMar>
            <w:top w:w="0" w:type="dxa"/>
            <w:left w:w="108" w:type="dxa"/>
            <w:bottom w:w="0" w:type="dxa"/>
            <w:right w:w="108" w:type="dxa"/>
          </w:tblCellMar>
        </w:tblPrEx>
        <w:trPr>
          <w:trHeight w:val="346"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2</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内科常规检查</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检查心、肺、肝、脾、神经系统有无异常</w:t>
            </w:r>
          </w:p>
        </w:tc>
      </w:tr>
      <w:tr>
        <w:tblPrEx>
          <w:tblCellMar>
            <w:top w:w="0" w:type="dxa"/>
            <w:left w:w="108" w:type="dxa"/>
            <w:bottom w:w="0" w:type="dxa"/>
            <w:right w:w="108" w:type="dxa"/>
          </w:tblCellMar>
        </w:tblPrEx>
        <w:trPr>
          <w:trHeight w:val="297"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3</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外科常规检查</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检查甲状腺、浅表淋巴结等有无异常</w:t>
            </w:r>
          </w:p>
        </w:tc>
      </w:tr>
      <w:tr>
        <w:tblPrEx>
          <w:tblCellMar>
            <w:top w:w="0" w:type="dxa"/>
            <w:left w:w="108" w:type="dxa"/>
            <w:bottom w:w="0" w:type="dxa"/>
            <w:right w:w="108" w:type="dxa"/>
          </w:tblCellMar>
        </w:tblPrEx>
        <w:trPr>
          <w:trHeight w:val="658"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4</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肝功9项</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检查肝胆代谢功能有无异常，用于检测肝胆疾病，慢性肝损害、胆道梗阻等疾病</w:t>
            </w:r>
          </w:p>
        </w:tc>
      </w:tr>
      <w:tr>
        <w:tblPrEx>
          <w:tblCellMar>
            <w:top w:w="0" w:type="dxa"/>
            <w:left w:w="108" w:type="dxa"/>
            <w:bottom w:w="0" w:type="dxa"/>
            <w:right w:w="108" w:type="dxa"/>
          </w:tblCellMar>
        </w:tblPrEx>
        <w:trPr>
          <w:trHeight w:val="275"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5</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肾功3项</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检查肾脏的代谢、排泄功能是否正常</w:t>
            </w:r>
          </w:p>
        </w:tc>
      </w:tr>
      <w:tr>
        <w:tblPrEx>
          <w:tblCellMar>
            <w:top w:w="0" w:type="dxa"/>
            <w:left w:w="108" w:type="dxa"/>
            <w:bottom w:w="0" w:type="dxa"/>
            <w:right w:w="108" w:type="dxa"/>
          </w:tblCellMar>
        </w:tblPrEx>
        <w:trPr>
          <w:trHeight w:val="352"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6</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血糖2项</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是糖尿病最基本的检测方法</w:t>
            </w:r>
          </w:p>
        </w:tc>
      </w:tr>
      <w:tr>
        <w:tblPrEx>
          <w:tblCellMar>
            <w:top w:w="0" w:type="dxa"/>
            <w:left w:w="108" w:type="dxa"/>
            <w:bottom w:w="0" w:type="dxa"/>
            <w:right w:w="108" w:type="dxa"/>
          </w:tblCellMar>
        </w:tblPrEx>
        <w:trPr>
          <w:trHeight w:val="586"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7</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血脂6项</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用于血脂代谢紊乱评价、动脉粥样硬化性疾病危险度预测和营养学评价</w:t>
            </w:r>
          </w:p>
        </w:tc>
      </w:tr>
      <w:tr>
        <w:tblPrEx>
          <w:tblCellMar>
            <w:top w:w="0" w:type="dxa"/>
            <w:left w:w="108" w:type="dxa"/>
            <w:bottom w:w="0" w:type="dxa"/>
            <w:right w:w="108" w:type="dxa"/>
          </w:tblCellMar>
        </w:tblPrEx>
        <w:trPr>
          <w:trHeight w:val="368"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8</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心肌酶谱</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筛检有无心脏病变、预防心脑血管疾病</w:t>
            </w:r>
          </w:p>
        </w:tc>
      </w:tr>
      <w:tr>
        <w:tblPrEx>
          <w:tblCellMar>
            <w:top w:w="0" w:type="dxa"/>
            <w:left w:w="108" w:type="dxa"/>
            <w:bottom w:w="0" w:type="dxa"/>
            <w:right w:w="108" w:type="dxa"/>
          </w:tblCellMar>
        </w:tblPrEx>
        <w:trPr>
          <w:trHeight w:val="331"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9</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甲状腺功能</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甲状腺功能评价、甲状腺疾病诊断及治疗监测</w:t>
            </w:r>
          </w:p>
        </w:tc>
      </w:tr>
      <w:tr>
        <w:tblPrEx>
          <w:tblCellMar>
            <w:top w:w="0" w:type="dxa"/>
            <w:left w:w="108" w:type="dxa"/>
            <w:bottom w:w="0" w:type="dxa"/>
            <w:right w:w="108" w:type="dxa"/>
          </w:tblCellMar>
        </w:tblPrEx>
        <w:trPr>
          <w:trHeight w:val="281"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10</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同型半胱氨酸</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冠状动脉粥样硬化和心肌梗塞的危险性评价指标</w:t>
            </w:r>
          </w:p>
        </w:tc>
      </w:tr>
      <w:tr>
        <w:tblPrEx>
          <w:tblCellMar>
            <w:top w:w="0" w:type="dxa"/>
            <w:left w:w="108" w:type="dxa"/>
            <w:bottom w:w="0" w:type="dxa"/>
            <w:right w:w="108" w:type="dxa"/>
          </w:tblCellMar>
        </w:tblPrEx>
        <w:trPr>
          <w:trHeight w:val="202"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11</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血常规</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了解有无感染、贫血、炎症、凝血功能障碍及血液等疾病</w:t>
            </w:r>
          </w:p>
        </w:tc>
      </w:tr>
      <w:tr>
        <w:tblPrEx>
          <w:tblCellMar>
            <w:top w:w="0" w:type="dxa"/>
            <w:left w:w="108" w:type="dxa"/>
            <w:bottom w:w="0" w:type="dxa"/>
            <w:right w:w="108" w:type="dxa"/>
          </w:tblCellMar>
        </w:tblPrEx>
        <w:trPr>
          <w:trHeight w:val="153"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12</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尿常规</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了解有无尿蛋白、尿糖、泌尿系感染等</w:t>
            </w:r>
          </w:p>
        </w:tc>
      </w:tr>
      <w:tr>
        <w:tblPrEx>
          <w:tblCellMar>
            <w:top w:w="0" w:type="dxa"/>
            <w:left w:w="108" w:type="dxa"/>
            <w:bottom w:w="0" w:type="dxa"/>
            <w:right w:w="108" w:type="dxa"/>
          </w:tblCellMar>
        </w:tblPrEx>
        <w:trPr>
          <w:trHeight w:val="245"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13</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甲胎蛋白（AFP）</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主要用于肝癌早期筛查</w:t>
            </w:r>
          </w:p>
        </w:tc>
      </w:tr>
      <w:tr>
        <w:tblPrEx>
          <w:tblCellMar>
            <w:top w:w="0" w:type="dxa"/>
            <w:left w:w="108" w:type="dxa"/>
            <w:bottom w:w="0" w:type="dxa"/>
            <w:right w:w="108" w:type="dxa"/>
          </w:tblCellMar>
        </w:tblPrEx>
        <w:trPr>
          <w:trHeight w:val="181"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14</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癌胚抗原（CEA）</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主要用于消化道肿瘤早期筛查</w:t>
            </w:r>
          </w:p>
        </w:tc>
      </w:tr>
      <w:tr>
        <w:tblPrEx>
          <w:tblCellMar>
            <w:top w:w="0" w:type="dxa"/>
            <w:left w:w="108" w:type="dxa"/>
            <w:bottom w:w="0" w:type="dxa"/>
            <w:right w:w="108" w:type="dxa"/>
          </w:tblCellMar>
        </w:tblPrEx>
        <w:trPr>
          <w:trHeight w:val="131"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15</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CA199</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主要用于筛查胰腺癌、胆管癌等</w:t>
            </w:r>
          </w:p>
        </w:tc>
      </w:tr>
      <w:tr>
        <w:tblPrEx>
          <w:tblCellMar>
            <w:top w:w="0" w:type="dxa"/>
            <w:left w:w="108" w:type="dxa"/>
            <w:bottom w:w="0" w:type="dxa"/>
            <w:right w:w="108" w:type="dxa"/>
          </w:tblCellMar>
        </w:tblPrEx>
        <w:trPr>
          <w:trHeight w:val="35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16</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PSA</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前列腺癌的筛查</w:t>
            </w:r>
          </w:p>
        </w:tc>
      </w:tr>
      <w:tr>
        <w:tblPrEx>
          <w:tblCellMar>
            <w:top w:w="0" w:type="dxa"/>
            <w:left w:w="108" w:type="dxa"/>
            <w:bottom w:w="0" w:type="dxa"/>
            <w:right w:w="108" w:type="dxa"/>
          </w:tblCellMar>
        </w:tblPrEx>
        <w:trPr>
          <w:trHeight w:val="5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17</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幽门螺杆菌C13呼气试验检测</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胃、十二指肠疾病幽门螺杆菌感染诊断，抗幽门螺杆菌药物疗效的评价</w:t>
            </w:r>
          </w:p>
        </w:tc>
      </w:tr>
      <w:tr>
        <w:tblPrEx>
          <w:tblCellMar>
            <w:top w:w="0" w:type="dxa"/>
            <w:left w:w="108" w:type="dxa"/>
            <w:bottom w:w="0" w:type="dxa"/>
            <w:right w:w="108" w:type="dxa"/>
          </w:tblCellMar>
        </w:tblPrEx>
        <w:trPr>
          <w:trHeight w:val="201"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18</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12导联心电图</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检查有无心律失常、心肌病变等</w:t>
            </w:r>
          </w:p>
        </w:tc>
      </w:tr>
      <w:tr>
        <w:tblPrEx>
          <w:tblCellMar>
            <w:top w:w="0" w:type="dxa"/>
            <w:left w:w="108" w:type="dxa"/>
            <w:bottom w:w="0" w:type="dxa"/>
            <w:right w:w="108" w:type="dxa"/>
          </w:tblCellMar>
        </w:tblPrEx>
        <w:trPr>
          <w:trHeight w:val="265"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19</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低剂量胸部螺旋CT</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对直径小于1厘米的小肺癌，低剂量螺旋CT的检出阳性率较高</w:t>
            </w:r>
          </w:p>
        </w:tc>
      </w:tr>
      <w:tr>
        <w:tblPrEx>
          <w:tblCellMar>
            <w:top w:w="0" w:type="dxa"/>
            <w:left w:w="108" w:type="dxa"/>
            <w:bottom w:w="0" w:type="dxa"/>
            <w:right w:w="108" w:type="dxa"/>
          </w:tblCellMar>
        </w:tblPrEx>
        <w:trPr>
          <w:trHeight w:val="357"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20</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腹部彩超全套</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检查有无占位性病变、脂肪肝、肝胆结石等疾病</w:t>
            </w:r>
          </w:p>
        </w:tc>
      </w:tr>
      <w:tr>
        <w:tblPrEx>
          <w:tblCellMar>
            <w:top w:w="0" w:type="dxa"/>
            <w:left w:w="108" w:type="dxa"/>
            <w:bottom w:w="0" w:type="dxa"/>
            <w:right w:w="108" w:type="dxa"/>
          </w:tblCellMar>
        </w:tblPrEx>
        <w:trPr>
          <w:trHeight w:val="165"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21</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甲状腺彩超</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了解甲状腺是否有结节、肿瘤等情况</w:t>
            </w:r>
          </w:p>
        </w:tc>
      </w:tr>
      <w:tr>
        <w:tblPrEx>
          <w:tblCellMar>
            <w:top w:w="0" w:type="dxa"/>
            <w:left w:w="108" w:type="dxa"/>
            <w:bottom w:w="0" w:type="dxa"/>
            <w:right w:w="108" w:type="dxa"/>
          </w:tblCellMar>
        </w:tblPrEx>
        <w:trPr>
          <w:trHeight w:val="384"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22</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颈动脉彩超</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了解颈部大血管，有无动脉硬化、斑块、管腔狭窄、畸形等</w:t>
            </w:r>
          </w:p>
        </w:tc>
      </w:tr>
      <w:tr>
        <w:tblPrEx>
          <w:tblCellMar>
            <w:top w:w="0" w:type="dxa"/>
            <w:left w:w="108" w:type="dxa"/>
            <w:bottom w:w="0" w:type="dxa"/>
            <w:right w:w="108" w:type="dxa"/>
          </w:tblCellMar>
        </w:tblPrEx>
        <w:trPr>
          <w:trHeight w:val="24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23</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动脉硬化检测</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四肢动脉硬化测定</w:t>
            </w:r>
          </w:p>
        </w:tc>
      </w:tr>
      <w:tr>
        <w:tblPrEx>
          <w:tblCellMar>
            <w:top w:w="0" w:type="dxa"/>
            <w:left w:w="108" w:type="dxa"/>
            <w:bottom w:w="0" w:type="dxa"/>
            <w:right w:w="108" w:type="dxa"/>
          </w:tblCellMar>
        </w:tblPrEx>
        <w:trPr>
          <w:trHeight w:val="328"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24</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经颅彩色多普勒</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检查颅脑血管有无痉挛、供血不足、狭窄等疾病态及生活环境</w:t>
            </w:r>
          </w:p>
        </w:tc>
      </w:tr>
    </w:tbl>
    <w:p>
      <w:pPr>
        <w:adjustRightInd w:val="0"/>
        <w:snapToGrid w:val="0"/>
        <w:spacing w:line="360" w:lineRule="auto"/>
        <w:ind w:firstLine="512" w:firstLineChars="200"/>
        <w:jc w:val="left"/>
        <w:rPr>
          <w:rFonts w:hAnsi="宋体" w:cs="宋体"/>
          <w:spacing w:val="8"/>
          <w:sz w:val="24"/>
          <w:szCs w:val="24"/>
        </w:rPr>
      </w:pPr>
      <w:r>
        <w:rPr>
          <w:rFonts w:hint="eastAsia" w:hAnsi="宋体" w:cs="宋体"/>
          <w:spacing w:val="8"/>
          <w:sz w:val="24"/>
          <w:szCs w:val="24"/>
        </w:rPr>
        <w:t>15.2女性基础套餐（必选）</w:t>
      </w:r>
    </w:p>
    <w:tbl>
      <w:tblPr>
        <w:tblStyle w:val="19"/>
        <w:tblW w:w="8804" w:type="dxa"/>
        <w:tblInd w:w="93" w:type="dxa"/>
        <w:tblLayout w:type="autofit"/>
        <w:tblCellMar>
          <w:top w:w="0" w:type="dxa"/>
          <w:left w:w="108" w:type="dxa"/>
          <w:bottom w:w="0" w:type="dxa"/>
          <w:right w:w="108" w:type="dxa"/>
        </w:tblCellMar>
      </w:tblPr>
      <w:tblGrid>
        <w:gridCol w:w="866"/>
        <w:gridCol w:w="1984"/>
        <w:gridCol w:w="5954"/>
      </w:tblGrid>
      <w:tr>
        <w:tblPrEx>
          <w:tblCellMar>
            <w:top w:w="0" w:type="dxa"/>
            <w:left w:w="108" w:type="dxa"/>
            <w:bottom w:w="0" w:type="dxa"/>
            <w:right w:w="108" w:type="dxa"/>
          </w:tblCellMar>
        </w:tblPrEx>
        <w:trPr>
          <w:trHeight w:val="249"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sz w:val="24"/>
                <w:szCs w:val="24"/>
              </w:rPr>
            </w:pPr>
            <w:r>
              <w:rPr>
                <w:rFonts w:hint="eastAsia" w:ascii="黑体" w:hAnsi="黑体" w:eastAsia="黑体" w:cs="宋体"/>
                <w:sz w:val="24"/>
                <w:szCs w:val="24"/>
              </w:rPr>
              <w:t>序号</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sz w:val="24"/>
                <w:szCs w:val="24"/>
              </w:rPr>
            </w:pPr>
            <w:r>
              <w:rPr>
                <w:rFonts w:hint="eastAsia" w:ascii="黑体" w:hAnsi="黑体" w:eastAsia="黑体" w:cs="宋体"/>
                <w:sz w:val="24"/>
                <w:szCs w:val="24"/>
              </w:rPr>
              <w:t>项目</w:t>
            </w:r>
          </w:p>
        </w:tc>
        <w:tc>
          <w:tcPr>
            <w:tcW w:w="59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sz w:val="24"/>
                <w:szCs w:val="24"/>
              </w:rPr>
            </w:pPr>
            <w:r>
              <w:rPr>
                <w:rFonts w:hint="eastAsia" w:ascii="黑体" w:hAnsi="黑体" w:eastAsia="黑体" w:cs="宋体"/>
                <w:sz w:val="24"/>
                <w:szCs w:val="24"/>
              </w:rPr>
              <w:t>具体内容</w:t>
            </w:r>
          </w:p>
        </w:tc>
      </w:tr>
      <w:tr>
        <w:tblPrEx>
          <w:tblCellMar>
            <w:top w:w="0" w:type="dxa"/>
            <w:left w:w="108" w:type="dxa"/>
            <w:bottom w:w="0" w:type="dxa"/>
            <w:right w:w="108" w:type="dxa"/>
          </w:tblCellMar>
        </w:tblPrEx>
        <w:trPr>
          <w:trHeight w:val="198"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1</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一般检查</w:t>
            </w:r>
          </w:p>
        </w:tc>
        <w:tc>
          <w:tcPr>
            <w:tcW w:w="59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判断是否超重、肥胖、消瘦，有无高血压</w:t>
            </w:r>
          </w:p>
        </w:tc>
      </w:tr>
      <w:tr>
        <w:tblPrEx>
          <w:tblCellMar>
            <w:top w:w="0" w:type="dxa"/>
            <w:left w:w="108" w:type="dxa"/>
            <w:bottom w:w="0" w:type="dxa"/>
            <w:right w:w="108" w:type="dxa"/>
          </w:tblCellMar>
        </w:tblPrEx>
        <w:trPr>
          <w:trHeight w:val="276"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2</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内科常规检查</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检查心、肺、肝、脾、神经系统有无异常</w:t>
            </w:r>
          </w:p>
        </w:tc>
      </w:tr>
      <w:tr>
        <w:tblPrEx>
          <w:tblCellMar>
            <w:top w:w="0" w:type="dxa"/>
            <w:left w:w="108" w:type="dxa"/>
            <w:bottom w:w="0" w:type="dxa"/>
            <w:right w:w="108" w:type="dxa"/>
          </w:tblCellMar>
        </w:tblPrEx>
        <w:trPr>
          <w:trHeight w:val="212"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3</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外科常规检查</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检查甲状腺、浅表淋巴结等有无异常</w:t>
            </w:r>
          </w:p>
        </w:tc>
      </w:tr>
      <w:tr>
        <w:tblPrEx>
          <w:tblCellMar>
            <w:top w:w="0" w:type="dxa"/>
            <w:left w:w="108" w:type="dxa"/>
            <w:bottom w:w="0" w:type="dxa"/>
            <w:right w:w="108" w:type="dxa"/>
          </w:tblCellMar>
        </w:tblPrEx>
        <w:trPr>
          <w:trHeight w:val="588"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4</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肝功9项</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检查肝胆代谢功能有无异常，用于检测肝胆疾病，慢性肝损害、胆道梗阻等疾病</w:t>
            </w:r>
          </w:p>
        </w:tc>
      </w:tr>
      <w:tr>
        <w:tblPrEx>
          <w:tblCellMar>
            <w:top w:w="0" w:type="dxa"/>
            <w:left w:w="108" w:type="dxa"/>
            <w:bottom w:w="0" w:type="dxa"/>
            <w:right w:w="108" w:type="dxa"/>
          </w:tblCellMar>
        </w:tblPrEx>
        <w:trPr>
          <w:trHeight w:val="191"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5</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肾功3项</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检查肾脏的代谢、排泄功能是否正常</w:t>
            </w:r>
          </w:p>
        </w:tc>
      </w:tr>
      <w:tr>
        <w:tblPrEx>
          <w:tblCellMar>
            <w:top w:w="0" w:type="dxa"/>
            <w:left w:w="108" w:type="dxa"/>
            <w:bottom w:w="0" w:type="dxa"/>
            <w:right w:w="108" w:type="dxa"/>
          </w:tblCellMar>
        </w:tblPrEx>
        <w:trPr>
          <w:trHeight w:val="141"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6</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血糖2项</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是糖尿病最基本的检测方法</w:t>
            </w:r>
          </w:p>
        </w:tc>
      </w:tr>
      <w:tr>
        <w:tblPrEx>
          <w:tblCellMar>
            <w:top w:w="0" w:type="dxa"/>
            <w:left w:w="108" w:type="dxa"/>
            <w:bottom w:w="0" w:type="dxa"/>
            <w:right w:w="108" w:type="dxa"/>
          </w:tblCellMar>
        </w:tblPrEx>
        <w:trPr>
          <w:trHeight w:val="658"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7</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血脂6项</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用于血脂代谢紊乱评价、动脉粥样硬化性疾病危险度预测和营养学评价</w:t>
            </w:r>
          </w:p>
        </w:tc>
      </w:tr>
      <w:tr>
        <w:tblPrEx>
          <w:tblCellMar>
            <w:top w:w="0" w:type="dxa"/>
            <w:left w:w="108" w:type="dxa"/>
            <w:bottom w:w="0" w:type="dxa"/>
            <w:right w:w="108" w:type="dxa"/>
          </w:tblCellMar>
        </w:tblPrEx>
        <w:trPr>
          <w:trHeight w:val="368"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8</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血常规</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了解有无感染、贫血、炎症、凝血功能障碍及血液等疾病</w:t>
            </w:r>
          </w:p>
        </w:tc>
      </w:tr>
      <w:tr>
        <w:tblPrEx>
          <w:tblCellMar>
            <w:top w:w="0" w:type="dxa"/>
            <w:left w:w="108" w:type="dxa"/>
            <w:bottom w:w="0" w:type="dxa"/>
            <w:right w:w="108" w:type="dxa"/>
          </w:tblCellMar>
        </w:tblPrEx>
        <w:trPr>
          <w:trHeight w:val="473"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9</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尿常规</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了解有无尿蛋白、尿糖、泌尿系感染等</w:t>
            </w:r>
          </w:p>
        </w:tc>
      </w:tr>
      <w:tr>
        <w:tblPrEx>
          <w:tblCellMar>
            <w:top w:w="0" w:type="dxa"/>
            <w:left w:w="108" w:type="dxa"/>
            <w:bottom w:w="0" w:type="dxa"/>
            <w:right w:w="108" w:type="dxa"/>
          </w:tblCellMar>
        </w:tblPrEx>
        <w:trPr>
          <w:trHeight w:val="1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10</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心肌酶谱</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筛检有无心脏病变、预防心脑血管疾病</w:t>
            </w:r>
          </w:p>
        </w:tc>
      </w:tr>
      <w:tr>
        <w:tblPrEx>
          <w:tblCellMar>
            <w:top w:w="0" w:type="dxa"/>
            <w:left w:w="108" w:type="dxa"/>
            <w:bottom w:w="0" w:type="dxa"/>
            <w:right w:w="108" w:type="dxa"/>
          </w:tblCellMar>
        </w:tblPrEx>
        <w:trPr>
          <w:trHeight w:val="203"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11</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同型半胱氨酸</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冠状动脉粥样硬化和心肌梗塞的危险性评价指标</w:t>
            </w:r>
          </w:p>
        </w:tc>
      </w:tr>
      <w:tr>
        <w:tblPrEx>
          <w:tblCellMar>
            <w:top w:w="0" w:type="dxa"/>
            <w:left w:w="108" w:type="dxa"/>
            <w:bottom w:w="0" w:type="dxa"/>
            <w:right w:w="108" w:type="dxa"/>
          </w:tblCellMar>
        </w:tblPrEx>
        <w:trPr>
          <w:trHeight w:val="294"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12</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甲状腺功能</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甲状腺功能评价、甲状腺疾病诊断及治疗监测</w:t>
            </w:r>
          </w:p>
        </w:tc>
      </w:tr>
      <w:tr>
        <w:tblPrEx>
          <w:tblCellMar>
            <w:top w:w="0" w:type="dxa"/>
            <w:left w:w="108" w:type="dxa"/>
            <w:bottom w:w="0" w:type="dxa"/>
            <w:right w:w="108" w:type="dxa"/>
          </w:tblCellMar>
        </w:tblPrEx>
        <w:trPr>
          <w:trHeight w:val="103"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13</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甲胎蛋白（AFP）</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主要用于肝癌早期筛查</w:t>
            </w:r>
          </w:p>
        </w:tc>
      </w:tr>
      <w:tr>
        <w:tblPrEx>
          <w:tblCellMar>
            <w:top w:w="0" w:type="dxa"/>
            <w:left w:w="108" w:type="dxa"/>
            <w:bottom w:w="0" w:type="dxa"/>
            <w:right w:w="108" w:type="dxa"/>
          </w:tblCellMar>
        </w:tblPrEx>
        <w:trPr>
          <w:trHeight w:val="181"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14</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癌胚抗原（CEA）</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主要用于消化道肿瘤早期筛查</w:t>
            </w:r>
          </w:p>
        </w:tc>
      </w:tr>
      <w:tr>
        <w:tblPrEx>
          <w:tblCellMar>
            <w:top w:w="0" w:type="dxa"/>
            <w:left w:w="108" w:type="dxa"/>
            <w:bottom w:w="0" w:type="dxa"/>
            <w:right w:w="108" w:type="dxa"/>
          </w:tblCellMar>
        </w:tblPrEx>
        <w:trPr>
          <w:trHeight w:val="273"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15</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CA199</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主要用于筛查胰腺癌、胆管癌等</w:t>
            </w:r>
          </w:p>
        </w:tc>
      </w:tr>
      <w:tr>
        <w:tblPrEx>
          <w:tblCellMar>
            <w:top w:w="0" w:type="dxa"/>
            <w:left w:w="108" w:type="dxa"/>
            <w:bottom w:w="0" w:type="dxa"/>
            <w:right w:w="108" w:type="dxa"/>
          </w:tblCellMar>
        </w:tblPrEx>
        <w:trPr>
          <w:trHeight w:val="7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16</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CA125</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卵巢癌的筛查</w:t>
            </w:r>
          </w:p>
        </w:tc>
      </w:tr>
      <w:tr>
        <w:tblPrEx>
          <w:tblCellMar>
            <w:top w:w="0" w:type="dxa"/>
            <w:left w:w="108" w:type="dxa"/>
            <w:bottom w:w="0" w:type="dxa"/>
            <w:right w:w="108" w:type="dxa"/>
          </w:tblCellMar>
        </w:tblPrEx>
        <w:trPr>
          <w:trHeight w:val="428"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17</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幽门螺杆菌C13呼气试验检测</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胃、十二指肠疾病幽门螺杆菌感染诊断，抗幽门螺杆菌药物疗效的评价</w:t>
            </w:r>
          </w:p>
        </w:tc>
      </w:tr>
      <w:tr>
        <w:tblPrEx>
          <w:tblCellMar>
            <w:top w:w="0" w:type="dxa"/>
            <w:left w:w="108" w:type="dxa"/>
            <w:bottom w:w="0" w:type="dxa"/>
            <w:right w:w="108" w:type="dxa"/>
          </w:tblCellMar>
        </w:tblPrEx>
        <w:trPr>
          <w:trHeight w:val="201"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18</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12导联心电图</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检查有无心律失常、心肌病变等</w:t>
            </w:r>
          </w:p>
        </w:tc>
      </w:tr>
      <w:tr>
        <w:tblPrEx>
          <w:tblCellMar>
            <w:top w:w="0" w:type="dxa"/>
            <w:left w:w="108" w:type="dxa"/>
            <w:bottom w:w="0" w:type="dxa"/>
            <w:right w:w="108" w:type="dxa"/>
          </w:tblCellMar>
        </w:tblPrEx>
        <w:trPr>
          <w:trHeight w:val="265"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19</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低剂量胸部螺旋CT</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对直径小于1厘米的小肺癌，低剂量螺旋CT的检出阳性率较高</w:t>
            </w:r>
          </w:p>
        </w:tc>
      </w:tr>
      <w:tr>
        <w:tblPrEx>
          <w:tblCellMar>
            <w:top w:w="0" w:type="dxa"/>
            <w:left w:w="108" w:type="dxa"/>
            <w:bottom w:w="0" w:type="dxa"/>
            <w:right w:w="108" w:type="dxa"/>
          </w:tblCellMar>
        </w:tblPrEx>
        <w:trPr>
          <w:trHeight w:val="357"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20</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腹部彩超全套</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检查有无占位性病变、脂肪肝、肝胆结石等疾病</w:t>
            </w:r>
          </w:p>
        </w:tc>
      </w:tr>
      <w:tr>
        <w:tblPrEx>
          <w:tblCellMar>
            <w:top w:w="0" w:type="dxa"/>
            <w:left w:w="108" w:type="dxa"/>
            <w:bottom w:w="0" w:type="dxa"/>
            <w:right w:w="108" w:type="dxa"/>
          </w:tblCellMar>
        </w:tblPrEx>
        <w:trPr>
          <w:trHeight w:val="307"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21</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甲状腺彩超</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了解甲状腺是否有结节、肿瘤等情况</w:t>
            </w:r>
          </w:p>
        </w:tc>
      </w:tr>
      <w:tr>
        <w:tblPrEx>
          <w:tblCellMar>
            <w:top w:w="0" w:type="dxa"/>
            <w:left w:w="108" w:type="dxa"/>
            <w:bottom w:w="0" w:type="dxa"/>
            <w:right w:w="108" w:type="dxa"/>
          </w:tblCellMar>
        </w:tblPrEx>
        <w:trPr>
          <w:trHeight w:val="526"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22</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颈动脉彩超</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了解颈部大血管情况，有无颈动脉硬化、斑块形成、管腔狭窄、畸形等</w:t>
            </w:r>
          </w:p>
        </w:tc>
      </w:tr>
      <w:tr>
        <w:tblPrEx>
          <w:tblCellMar>
            <w:top w:w="0" w:type="dxa"/>
            <w:left w:w="108" w:type="dxa"/>
            <w:bottom w:w="0" w:type="dxa"/>
            <w:right w:w="108" w:type="dxa"/>
          </w:tblCellMar>
        </w:tblPrEx>
        <w:trPr>
          <w:trHeight w:val="426"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23</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经颅彩色多普勒</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检查颅脑血管有无痉挛、供血不足、狭窄等疾病态及生活环境</w:t>
            </w:r>
          </w:p>
        </w:tc>
      </w:tr>
      <w:tr>
        <w:tblPrEx>
          <w:tblCellMar>
            <w:top w:w="0" w:type="dxa"/>
            <w:left w:w="108" w:type="dxa"/>
            <w:bottom w:w="0" w:type="dxa"/>
            <w:right w:w="108" w:type="dxa"/>
          </w:tblCellMar>
        </w:tblPrEx>
        <w:trPr>
          <w:trHeight w:val="363"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24</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乳腺彩超</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诊断乳腺增生、肿物、结节、囊肿、腺瘤等</w:t>
            </w:r>
          </w:p>
        </w:tc>
      </w:tr>
      <w:tr>
        <w:tblPrEx>
          <w:tblCellMar>
            <w:top w:w="0" w:type="dxa"/>
            <w:left w:w="108" w:type="dxa"/>
            <w:bottom w:w="0" w:type="dxa"/>
            <w:right w:w="108" w:type="dxa"/>
          </w:tblCellMar>
        </w:tblPrEx>
        <w:trPr>
          <w:trHeight w:val="738"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25</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妇科检查</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通过内诊、宫颈刮片等检查方法，排除妇科常见的阴道炎、宫颈炎以及妇科肿瘤等疾病</w:t>
            </w:r>
          </w:p>
        </w:tc>
      </w:tr>
      <w:tr>
        <w:tblPrEx>
          <w:tblCellMar>
            <w:top w:w="0" w:type="dxa"/>
            <w:left w:w="108" w:type="dxa"/>
            <w:bottom w:w="0" w:type="dxa"/>
            <w:right w:w="108" w:type="dxa"/>
          </w:tblCellMar>
        </w:tblPrEx>
        <w:trPr>
          <w:trHeight w:val="34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26</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白带检查</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阴道炎症的检测</w:t>
            </w:r>
          </w:p>
        </w:tc>
      </w:tr>
      <w:tr>
        <w:tblPrEx>
          <w:tblCellMar>
            <w:top w:w="0" w:type="dxa"/>
            <w:left w:w="108" w:type="dxa"/>
            <w:bottom w:w="0" w:type="dxa"/>
            <w:right w:w="108" w:type="dxa"/>
          </w:tblCellMar>
        </w:tblPrEx>
        <w:trPr>
          <w:trHeight w:val="574"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27</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液基超薄细胞检测</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在筛查宫颈癌和癌前病变较传统巴氏涂片更科学、更准确的一种防癌筛查技术</w:t>
            </w:r>
          </w:p>
        </w:tc>
      </w:tr>
      <w:tr>
        <w:tblPrEx>
          <w:tblCellMar>
            <w:top w:w="0" w:type="dxa"/>
            <w:left w:w="108" w:type="dxa"/>
            <w:bottom w:w="0" w:type="dxa"/>
            <w:right w:w="108" w:type="dxa"/>
          </w:tblCellMar>
        </w:tblPrEx>
        <w:trPr>
          <w:trHeight w:val="318"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28</w:t>
            </w: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动脉硬化检测</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四肢动脉硬化测定</w:t>
            </w:r>
          </w:p>
        </w:tc>
      </w:tr>
    </w:tbl>
    <w:p>
      <w:pPr>
        <w:adjustRightInd w:val="0"/>
        <w:snapToGrid w:val="0"/>
        <w:spacing w:line="360" w:lineRule="auto"/>
        <w:ind w:firstLine="512" w:firstLineChars="200"/>
        <w:jc w:val="left"/>
        <w:rPr>
          <w:rFonts w:hAnsi="宋体" w:cs="宋体"/>
          <w:spacing w:val="8"/>
          <w:sz w:val="24"/>
          <w:szCs w:val="24"/>
        </w:rPr>
      </w:pPr>
      <w:r>
        <w:rPr>
          <w:rFonts w:hint="eastAsia" w:hAnsi="宋体" w:cs="宋体"/>
          <w:spacing w:val="8"/>
          <w:sz w:val="24"/>
          <w:szCs w:val="24"/>
        </w:rPr>
        <w:t>15.3可选套餐（三选一）</w:t>
      </w:r>
    </w:p>
    <w:tbl>
      <w:tblPr>
        <w:tblStyle w:val="19"/>
        <w:tblW w:w="8804" w:type="dxa"/>
        <w:tblInd w:w="93" w:type="dxa"/>
        <w:tblLayout w:type="autofit"/>
        <w:tblCellMar>
          <w:top w:w="0" w:type="dxa"/>
          <w:left w:w="108" w:type="dxa"/>
          <w:bottom w:w="0" w:type="dxa"/>
          <w:right w:w="108" w:type="dxa"/>
        </w:tblCellMar>
      </w:tblPr>
      <w:tblGrid>
        <w:gridCol w:w="866"/>
        <w:gridCol w:w="1984"/>
        <w:gridCol w:w="5103"/>
        <w:gridCol w:w="851"/>
      </w:tblGrid>
      <w:tr>
        <w:tblPrEx>
          <w:tblCellMar>
            <w:top w:w="0" w:type="dxa"/>
            <w:left w:w="108" w:type="dxa"/>
            <w:bottom w:w="0" w:type="dxa"/>
            <w:right w:w="108" w:type="dxa"/>
          </w:tblCellMar>
        </w:tblPrEx>
        <w:trPr>
          <w:trHeight w:val="453" w:hRule="atLeast"/>
        </w:trPr>
        <w:tc>
          <w:tcPr>
            <w:tcW w:w="86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sz w:val="24"/>
                <w:szCs w:val="24"/>
              </w:rPr>
            </w:pPr>
            <w:r>
              <w:rPr>
                <w:rFonts w:hint="eastAsia" w:ascii="黑体" w:hAnsi="黑体" w:eastAsia="黑体" w:cs="宋体"/>
                <w:sz w:val="24"/>
                <w:szCs w:val="24"/>
              </w:rPr>
              <w:t>序号</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sz w:val="24"/>
                <w:szCs w:val="24"/>
              </w:rPr>
            </w:pPr>
            <w:r>
              <w:rPr>
                <w:rFonts w:hint="eastAsia" w:ascii="黑体" w:hAnsi="黑体" w:eastAsia="黑体" w:cs="宋体"/>
                <w:sz w:val="24"/>
                <w:szCs w:val="24"/>
              </w:rPr>
              <w:t>项目</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sz w:val="24"/>
                <w:szCs w:val="24"/>
              </w:rPr>
            </w:pPr>
            <w:r>
              <w:rPr>
                <w:rFonts w:hint="eastAsia" w:ascii="黑体" w:hAnsi="黑体" w:eastAsia="黑体" w:cs="宋体"/>
                <w:sz w:val="24"/>
                <w:szCs w:val="24"/>
              </w:rPr>
              <w:t>具体内容</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sz w:val="24"/>
                <w:szCs w:val="24"/>
              </w:rPr>
            </w:pPr>
            <w:r>
              <w:rPr>
                <w:rFonts w:hint="eastAsia" w:ascii="黑体" w:hAnsi="黑体" w:eastAsia="黑体" w:cs="宋体"/>
                <w:sz w:val="24"/>
                <w:szCs w:val="24"/>
              </w:rPr>
              <w:t>备注</w:t>
            </w:r>
          </w:p>
        </w:tc>
      </w:tr>
      <w:tr>
        <w:tblPrEx>
          <w:tblCellMar>
            <w:top w:w="0" w:type="dxa"/>
            <w:left w:w="108" w:type="dxa"/>
            <w:bottom w:w="0" w:type="dxa"/>
            <w:right w:w="108" w:type="dxa"/>
          </w:tblCellMar>
        </w:tblPrEx>
        <w:trPr>
          <w:trHeight w:val="388" w:hRule="atLeast"/>
        </w:trPr>
        <w:tc>
          <w:tcPr>
            <w:tcW w:w="86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套餐1</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骨密度检查</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诊断有无骨质减少、骨质疏松，预测骨折危险性</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　</w:t>
            </w:r>
          </w:p>
        </w:tc>
      </w:tr>
      <w:tr>
        <w:tblPrEx>
          <w:tblCellMar>
            <w:top w:w="0" w:type="dxa"/>
            <w:left w:w="108" w:type="dxa"/>
            <w:bottom w:w="0" w:type="dxa"/>
            <w:right w:w="108" w:type="dxa"/>
          </w:tblCellMar>
        </w:tblPrEx>
        <w:trPr>
          <w:trHeight w:val="793" w:hRule="atLeast"/>
        </w:trPr>
        <w:tc>
          <w:tcPr>
            <w:tcW w:w="86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Ansi="宋体" w:cs="宋体"/>
                <w:sz w:val="21"/>
                <w:szCs w:val="21"/>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腰椎CT</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清楚地显示椎间盘突出的部位、大小、形态，是腰椎间盘突出诊断中极为重要的依据</w:t>
            </w:r>
          </w:p>
        </w:tc>
        <w:tc>
          <w:tcPr>
            <w:tcW w:w="85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三选二</w:t>
            </w:r>
          </w:p>
        </w:tc>
      </w:tr>
      <w:tr>
        <w:tblPrEx>
          <w:tblCellMar>
            <w:top w:w="0" w:type="dxa"/>
            <w:left w:w="108" w:type="dxa"/>
            <w:bottom w:w="0" w:type="dxa"/>
            <w:right w:w="108" w:type="dxa"/>
          </w:tblCellMar>
        </w:tblPrEx>
        <w:trPr>
          <w:trHeight w:val="281" w:hRule="atLeast"/>
        </w:trPr>
        <w:tc>
          <w:tcPr>
            <w:tcW w:w="86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Ansi="宋体" w:cs="宋体"/>
                <w:sz w:val="21"/>
                <w:szCs w:val="21"/>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颈椎CT</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 xml:space="preserve">确认是否存在明显的骨化、钙化或者颈椎管狭窄 </w:t>
            </w: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hAnsi="宋体" w:cs="宋体"/>
                <w:sz w:val="21"/>
                <w:szCs w:val="21"/>
              </w:rPr>
            </w:pPr>
          </w:p>
        </w:tc>
      </w:tr>
      <w:tr>
        <w:tblPrEx>
          <w:tblCellMar>
            <w:top w:w="0" w:type="dxa"/>
            <w:left w:w="108" w:type="dxa"/>
            <w:bottom w:w="0" w:type="dxa"/>
            <w:right w:w="108" w:type="dxa"/>
          </w:tblCellMar>
        </w:tblPrEx>
        <w:trPr>
          <w:trHeight w:val="344" w:hRule="atLeast"/>
        </w:trPr>
        <w:tc>
          <w:tcPr>
            <w:tcW w:w="86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Ansi="宋体" w:cs="宋体"/>
                <w:sz w:val="21"/>
                <w:szCs w:val="21"/>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头颅CT</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筛查各种神经系统疾病最常用的检查方法</w:t>
            </w: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hAnsi="宋体" w:cs="宋体"/>
                <w:sz w:val="21"/>
                <w:szCs w:val="21"/>
              </w:rPr>
            </w:pPr>
          </w:p>
        </w:tc>
      </w:tr>
      <w:tr>
        <w:tblPrEx>
          <w:tblCellMar>
            <w:top w:w="0" w:type="dxa"/>
            <w:left w:w="108" w:type="dxa"/>
            <w:bottom w:w="0" w:type="dxa"/>
            <w:right w:w="108" w:type="dxa"/>
          </w:tblCellMar>
        </w:tblPrEx>
        <w:trPr>
          <w:trHeight w:val="585" w:hRule="atLeast"/>
        </w:trPr>
        <w:tc>
          <w:tcPr>
            <w:tcW w:w="86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套餐2</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无痛胃镜</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检查食道、胃有无炎症、肿瘤等病变</w:t>
            </w:r>
          </w:p>
        </w:tc>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三选一</w:t>
            </w:r>
          </w:p>
        </w:tc>
      </w:tr>
      <w:tr>
        <w:tblPrEx>
          <w:tblCellMar>
            <w:top w:w="0" w:type="dxa"/>
            <w:left w:w="108" w:type="dxa"/>
            <w:bottom w:w="0" w:type="dxa"/>
            <w:right w:w="108" w:type="dxa"/>
          </w:tblCellMar>
        </w:tblPrEx>
        <w:trPr>
          <w:trHeight w:val="465" w:hRule="atLeast"/>
        </w:trPr>
        <w:tc>
          <w:tcPr>
            <w:tcW w:w="866" w:type="dxa"/>
            <w:vMerge w:val="continue"/>
            <w:tcBorders>
              <w:top w:val="nil"/>
              <w:left w:val="single" w:color="auto" w:sz="4" w:space="0"/>
              <w:bottom w:val="single" w:color="000000" w:sz="4" w:space="0"/>
              <w:right w:val="single" w:color="auto" w:sz="4" w:space="0"/>
            </w:tcBorders>
            <w:vAlign w:val="center"/>
          </w:tcPr>
          <w:p>
            <w:pPr>
              <w:widowControl/>
              <w:jc w:val="left"/>
              <w:rPr>
                <w:rFonts w:hAnsi="宋体" w:cs="宋体"/>
                <w:sz w:val="21"/>
                <w:szCs w:val="21"/>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无痛肠镜</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检查肠道有无炎症、息肉、肿瘤等病变</w:t>
            </w: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hAnsi="宋体" w:cs="宋体"/>
                <w:sz w:val="21"/>
                <w:szCs w:val="21"/>
              </w:rPr>
            </w:pPr>
          </w:p>
        </w:tc>
      </w:tr>
      <w:tr>
        <w:tblPrEx>
          <w:tblCellMar>
            <w:top w:w="0" w:type="dxa"/>
            <w:left w:w="108" w:type="dxa"/>
            <w:bottom w:w="0" w:type="dxa"/>
            <w:right w:w="108" w:type="dxa"/>
          </w:tblCellMar>
        </w:tblPrEx>
        <w:trPr>
          <w:trHeight w:val="570" w:hRule="atLeast"/>
        </w:trPr>
        <w:tc>
          <w:tcPr>
            <w:tcW w:w="866" w:type="dxa"/>
            <w:vMerge w:val="continue"/>
            <w:tcBorders>
              <w:top w:val="nil"/>
              <w:left w:val="single" w:color="auto" w:sz="4" w:space="0"/>
              <w:bottom w:val="single" w:color="000000" w:sz="4" w:space="0"/>
              <w:right w:val="single" w:color="auto" w:sz="4" w:space="0"/>
            </w:tcBorders>
            <w:vAlign w:val="center"/>
          </w:tcPr>
          <w:p>
            <w:pPr>
              <w:widowControl/>
              <w:jc w:val="left"/>
              <w:rPr>
                <w:rFonts w:hAnsi="宋体" w:cs="宋体"/>
                <w:sz w:val="21"/>
                <w:szCs w:val="21"/>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核磁共振/部位</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检查头颅、腹部、关节、韧带、颈椎、腰椎等部位</w:t>
            </w: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hAnsi="宋体" w:cs="宋体"/>
                <w:sz w:val="21"/>
                <w:szCs w:val="21"/>
              </w:rPr>
            </w:pPr>
          </w:p>
        </w:tc>
      </w:tr>
      <w:tr>
        <w:tblPrEx>
          <w:tblCellMar>
            <w:top w:w="0" w:type="dxa"/>
            <w:left w:w="108" w:type="dxa"/>
            <w:bottom w:w="0" w:type="dxa"/>
            <w:right w:w="108" w:type="dxa"/>
          </w:tblCellMar>
        </w:tblPrEx>
        <w:trPr>
          <w:trHeight w:val="488" w:hRule="atLeast"/>
        </w:trPr>
        <w:tc>
          <w:tcPr>
            <w:tcW w:w="86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Ansi="宋体" w:cs="宋体"/>
                <w:sz w:val="21"/>
                <w:szCs w:val="21"/>
              </w:rPr>
            </w:pPr>
            <w:r>
              <w:rPr>
                <w:rFonts w:hint="eastAsia" w:hAnsi="宋体" w:cs="宋体"/>
                <w:sz w:val="21"/>
                <w:szCs w:val="21"/>
              </w:rPr>
              <w:t>套餐3</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心脏彩超</w:t>
            </w:r>
          </w:p>
        </w:tc>
        <w:tc>
          <w:tcPr>
            <w:tcW w:w="5103" w:type="dxa"/>
            <w:tcBorders>
              <w:top w:val="nil"/>
              <w:left w:val="nil"/>
              <w:bottom w:val="nil"/>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检查心脏有无器质性病变</w:t>
            </w:r>
          </w:p>
        </w:tc>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Ansi="宋体" w:cs="宋体"/>
                <w:sz w:val="21"/>
                <w:szCs w:val="21"/>
              </w:rPr>
            </w:pPr>
          </w:p>
        </w:tc>
      </w:tr>
      <w:tr>
        <w:tblPrEx>
          <w:tblCellMar>
            <w:top w:w="0" w:type="dxa"/>
            <w:left w:w="108" w:type="dxa"/>
            <w:bottom w:w="0" w:type="dxa"/>
            <w:right w:w="108" w:type="dxa"/>
          </w:tblCellMar>
        </w:tblPrEx>
        <w:trPr>
          <w:trHeight w:val="425" w:hRule="atLeast"/>
        </w:trPr>
        <w:tc>
          <w:tcPr>
            <w:tcW w:w="866" w:type="dxa"/>
            <w:vMerge w:val="continue"/>
            <w:tcBorders>
              <w:top w:val="nil"/>
              <w:left w:val="single" w:color="auto" w:sz="4" w:space="0"/>
              <w:bottom w:val="single" w:color="000000" w:sz="4" w:space="0"/>
              <w:right w:val="single" w:color="auto" w:sz="4" w:space="0"/>
            </w:tcBorders>
            <w:vAlign w:val="center"/>
          </w:tcPr>
          <w:p>
            <w:pPr>
              <w:widowControl/>
              <w:jc w:val="left"/>
              <w:rPr>
                <w:rFonts w:hAnsi="宋体" w:cs="宋体"/>
                <w:sz w:val="21"/>
                <w:szCs w:val="21"/>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骨密度检查</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sz w:val="21"/>
                <w:szCs w:val="21"/>
              </w:rPr>
            </w:pPr>
            <w:r>
              <w:rPr>
                <w:rFonts w:hint="eastAsia" w:hAnsi="宋体" w:cs="宋体"/>
                <w:sz w:val="21"/>
                <w:szCs w:val="21"/>
              </w:rPr>
              <w:t>诊断有无骨质减少、骨质疏松，预测骨折危险性</w:t>
            </w: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hAnsi="宋体" w:cs="宋体"/>
                <w:sz w:val="21"/>
                <w:szCs w:val="21"/>
              </w:rPr>
            </w:pPr>
          </w:p>
        </w:tc>
      </w:tr>
    </w:tbl>
    <w:p>
      <w:pPr>
        <w:adjustRightInd w:val="0"/>
        <w:snapToGrid w:val="0"/>
        <w:spacing w:line="360" w:lineRule="auto"/>
        <w:ind w:firstLine="481" w:firstLineChars="188"/>
        <w:jc w:val="left"/>
        <w:rPr>
          <w:rFonts w:hAnsi="宋体" w:cs="宋体"/>
          <w:bCs/>
          <w:spacing w:val="8"/>
          <w:sz w:val="24"/>
          <w:szCs w:val="24"/>
        </w:rPr>
      </w:pPr>
    </w:p>
    <w:p>
      <w:pPr>
        <w:adjustRightInd w:val="0"/>
        <w:snapToGrid w:val="0"/>
        <w:spacing w:line="360" w:lineRule="auto"/>
        <w:ind w:firstLine="453" w:firstLineChars="188"/>
        <w:jc w:val="left"/>
        <w:rPr>
          <w:rFonts w:hAnsi="宋体" w:cs="宋体"/>
          <w:b/>
          <w:bCs/>
          <w:spacing w:val="8"/>
          <w:sz w:val="24"/>
          <w:szCs w:val="24"/>
        </w:rPr>
      </w:pPr>
      <w:r>
        <w:rPr>
          <w:rFonts w:hint="eastAsia" w:cs="仿宋" w:asciiTheme="minorEastAsia" w:hAnsiTheme="minorEastAsia" w:eastAsiaTheme="minorEastAsia"/>
          <w:b/>
          <w:bCs/>
          <w:sz w:val="24"/>
          <w:szCs w:val="24"/>
        </w:rPr>
        <w:t>★</w:t>
      </w:r>
      <w:r>
        <w:rPr>
          <w:rFonts w:hint="eastAsia" w:hAnsi="宋体" w:cs="宋体"/>
          <w:b/>
          <w:bCs/>
          <w:spacing w:val="8"/>
          <w:sz w:val="24"/>
          <w:szCs w:val="24"/>
        </w:rPr>
        <w:t>三、服务要求（实质性要求）</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16.资质要求</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16.1供应商须具有二级甲等及以上公立医疗机构资质，具有开展健康体检的资质，具有120急诊急救的资质，具有开展新冠病毒核酸检测的资质（需提供证明材料并加盖公章）。</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16.2供应商须在内江市主城四区（市中区、东兴区、经开区、高新区）范围内，并且本项目不接受挂靠、合作等非供应商自身医务人员直接服务的方式向采购人提供相关医疗卫生服务。</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16.3供应商对本项目拟派的所有人员，均应该是来自供应商自身医疗单位（包括在职时和退休后），不允许有非本单位人员临时加入。</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16.4供应商需提供项目的服务方案（包括接送、早餐等符合采购人要求和安排）。</w:t>
      </w:r>
    </w:p>
    <w:p>
      <w:pPr>
        <w:ind w:firstLine="480"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17.服务时间：合同签订生效后，成交供应商在得到采购人书面通知20个工作日内完成体检服务。</w:t>
      </w:r>
    </w:p>
    <w:p>
      <w:pPr>
        <w:ind w:firstLine="480"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18.服务地点：成交供应商体检中心本部。</w:t>
      </w:r>
    </w:p>
    <w:p>
      <w:pPr>
        <w:ind w:firstLine="480"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19.参检人数：约80人，,以最终体检人数为准。</w:t>
      </w:r>
    </w:p>
    <w:p>
      <w:pPr>
        <w:ind w:firstLine="480" w:firstLineChars="200"/>
        <w:jc w:val="left"/>
        <w:rPr>
          <w:rFonts w:cs="仿宋" w:asciiTheme="minorEastAsia" w:hAnsiTheme="minorEastAsia" w:eastAsiaTheme="minorEastAsia"/>
          <w:sz w:val="24"/>
          <w:szCs w:val="24"/>
        </w:rPr>
      </w:pPr>
      <w:r>
        <w:rPr>
          <w:rFonts w:hint="eastAsia" w:hAnsi="宋体" w:cs="仿宋"/>
          <w:sz w:val="24"/>
          <w:szCs w:val="24"/>
        </w:rPr>
        <w:t>20.</w:t>
      </w:r>
      <w:r>
        <w:rPr>
          <w:rFonts w:hint="eastAsia" w:cs="仿宋" w:asciiTheme="minorEastAsia" w:hAnsiTheme="minorEastAsia" w:eastAsiaTheme="minorEastAsia"/>
          <w:sz w:val="24"/>
          <w:szCs w:val="24"/>
        </w:rPr>
        <w:t>合同价款的计算：合同价款=实际体检人数×成交供应商套餐单价；据实结算。</w:t>
      </w:r>
    </w:p>
    <w:p>
      <w:pPr>
        <w:ind w:firstLine="480" w:firstLineChars="200"/>
        <w:jc w:val="left"/>
        <w:rPr>
          <w:rFonts w:hAnsi="宋体" w:cs="仿宋"/>
          <w:sz w:val="24"/>
          <w:szCs w:val="24"/>
        </w:rPr>
      </w:pPr>
      <w:r>
        <w:rPr>
          <w:rFonts w:hint="eastAsia" w:hAnsi="宋体" w:cs="仿宋"/>
          <w:sz w:val="24"/>
          <w:szCs w:val="24"/>
        </w:rPr>
        <w:t>21.验收标准：</w:t>
      </w:r>
    </w:p>
    <w:p>
      <w:pPr>
        <w:ind w:firstLine="480" w:firstLineChars="200"/>
        <w:jc w:val="left"/>
        <w:rPr>
          <w:rFonts w:hAnsi="宋体" w:cs="仿宋"/>
          <w:sz w:val="24"/>
          <w:szCs w:val="24"/>
        </w:rPr>
      </w:pPr>
      <w:r>
        <w:rPr>
          <w:rFonts w:hint="eastAsia" w:hAnsi="宋体" w:cs="仿宋"/>
          <w:sz w:val="24"/>
          <w:szCs w:val="24"/>
        </w:rPr>
        <w:t>符合国家、行业标准、四川省地方标准规定的验收标准。</w:t>
      </w:r>
    </w:p>
    <w:p>
      <w:pPr>
        <w:ind w:firstLine="480" w:firstLineChars="200"/>
        <w:jc w:val="left"/>
        <w:rPr>
          <w:rFonts w:hAnsi="宋体" w:cs="仿宋"/>
          <w:sz w:val="24"/>
          <w:szCs w:val="24"/>
        </w:rPr>
      </w:pPr>
      <w:r>
        <w:rPr>
          <w:rFonts w:hint="eastAsia" w:hAnsi="宋体" w:cs="仿宋"/>
          <w:sz w:val="24"/>
          <w:szCs w:val="24"/>
        </w:rPr>
        <w:t>22.其他未尽事宜应严格按照《财政部关于进一步加强政府采购需求和履约验收管理的指导意见》(财库〔2016〕205号))的要求进行验收。</w:t>
      </w:r>
    </w:p>
    <w:p>
      <w:pPr>
        <w:ind w:firstLine="480" w:firstLineChars="200"/>
        <w:jc w:val="left"/>
        <w:rPr>
          <w:rFonts w:hAnsi="宋体" w:cs="仿宋"/>
          <w:sz w:val="24"/>
          <w:szCs w:val="24"/>
        </w:rPr>
      </w:pPr>
      <w:r>
        <w:rPr>
          <w:rFonts w:hint="eastAsia" w:hAnsi="宋体" w:cs="仿宋"/>
          <w:sz w:val="24"/>
          <w:szCs w:val="24"/>
        </w:rPr>
        <w:t>23.报价要求：本项目报价按每人体检所需费用报单价，其费用应包含完成本项目所需的所有费用，采购人除此外不必再为本项目支付其他费用。</w:t>
      </w:r>
    </w:p>
    <w:p>
      <w:pPr>
        <w:ind w:firstLine="480" w:firstLineChars="200"/>
        <w:jc w:val="left"/>
        <w:rPr>
          <w:rFonts w:hAnsi="宋体" w:cs="仿宋"/>
          <w:sz w:val="24"/>
          <w:szCs w:val="24"/>
        </w:rPr>
      </w:pPr>
      <w:r>
        <w:rPr>
          <w:rFonts w:hint="eastAsia" w:hAnsi="宋体" w:cs="仿宋"/>
          <w:sz w:val="24"/>
          <w:szCs w:val="24"/>
        </w:rPr>
        <w:t>24.付款方式：体检完毕后两周内，成交供应商应提交教职工参检人员明细表、体检报告及汇总材料给采购人审核和核算，审核通过后的15日内按实际参检情况据实结算。若成交供应商在规定时限内未向采购人递交上述资料，采购人有权延期付款。</w:t>
      </w:r>
    </w:p>
    <w:p>
      <w:pPr>
        <w:ind w:firstLine="482" w:firstLineChars="200"/>
        <w:jc w:val="left"/>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注：“★”项为本项目实质性要求，不允许负偏离，否则做无效响应处理。</w:t>
      </w:r>
    </w:p>
    <w:p>
      <w:pPr>
        <w:adjustRightInd w:val="0"/>
        <w:snapToGrid w:val="0"/>
        <w:spacing w:line="360" w:lineRule="auto"/>
        <w:ind w:firstLine="481" w:firstLineChars="188"/>
        <w:jc w:val="left"/>
        <w:rPr>
          <w:rFonts w:hAnsi="宋体" w:cs="宋体"/>
          <w:bCs/>
          <w:spacing w:val="8"/>
          <w:sz w:val="24"/>
          <w:szCs w:val="24"/>
        </w:rPr>
      </w:pPr>
    </w:p>
    <w:p>
      <w:pPr>
        <w:adjustRightInd w:val="0"/>
        <w:snapToGrid w:val="0"/>
        <w:spacing w:line="360" w:lineRule="auto"/>
        <w:ind w:firstLine="481" w:firstLineChars="188"/>
        <w:jc w:val="left"/>
        <w:rPr>
          <w:rFonts w:hAnsi="宋体" w:cs="宋体"/>
          <w:bCs/>
          <w:spacing w:val="8"/>
          <w:sz w:val="24"/>
          <w:szCs w:val="24"/>
        </w:rPr>
      </w:pPr>
    </w:p>
    <w:p>
      <w:pPr>
        <w:adjustRightInd w:val="0"/>
        <w:snapToGrid w:val="0"/>
        <w:spacing w:line="360" w:lineRule="auto"/>
        <w:ind w:firstLine="481" w:firstLineChars="188"/>
        <w:jc w:val="left"/>
        <w:rPr>
          <w:rFonts w:hAnsi="宋体" w:cs="宋体"/>
          <w:bCs/>
          <w:spacing w:val="8"/>
          <w:sz w:val="24"/>
          <w:szCs w:val="24"/>
        </w:rPr>
      </w:pPr>
    </w:p>
    <w:p>
      <w:pPr>
        <w:rPr>
          <w:rFonts w:hAnsi="宋体"/>
          <w:sz w:val="32"/>
          <w:szCs w:val="32"/>
        </w:rPr>
      </w:pPr>
      <w:r>
        <w:rPr>
          <w:rFonts w:hint="eastAsia" w:hAnsi="宋体"/>
          <w:sz w:val="32"/>
          <w:szCs w:val="32"/>
        </w:rPr>
        <w:br w:type="page"/>
      </w:r>
    </w:p>
    <w:p>
      <w:pPr>
        <w:pStyle w:val="3"/>
        <w:snapToGrid w:val="0"/>
        <w:spacing w:before="0" w:after="0" w:line="240" w:lineRule="auto"/>
        <w:ind w:firstLine="2891" w:firstLineChars="900"/>
        <w:rPr>
          <w:rFonts w:hAnsi="宋体"/>
          <w:sz w:val="32"/>
          <w:szCs w:val="32"/>
        </w:rPr>
      </w:pPr>
    </w:p>
    <w:p>
      <w:pPr>
        <w:pStyle w:val="3"/>
        <w:numPr>
          <w:ilvl w:val="0"/>
          <w:numId w:val="6"/>
        </w:numPr>
        <w:snapToGrid w:val="0"/>
        <w:spacing w:before="0" w:after="0" w:line="240" w:lineRule="auto"/>
        <w:ind w:firstLine="2891" w:firstLineChars="900"/>
        <w:rPr>
          <w:rFonts w:hint="eastAsia" w:hAnsi="宋体"/>
          <w:sz w:val="32"/>
          <w:szCs w:val="32"/>
        </w:rPr>
      </w:pPr>
      <w:r>
        <w:rPr>
          <w:rFonts w:hAnsi="宋体"/>
          <w:sz w:val="32"/>
          <w:szCs w:val="32"/>
        </w:rPr>
        <w:t xml:space="preserve"> </w:t>
      </w:r>
      <w:r>
        <w:rPr>
          <w:rFonts w:hint="eastAsia" w:hAnsi="宋体"/>
          <w:sz w:val="32"/>
          <w:szCs w:val="32"/>
        </w:rPr>
        <w:t>评标办法</w:t>
      </w:r>
    </w:p>
    <w:p>
      <w:pPr>
        <w:adjustRightInd w:val="0"/>
        <w:snapToGrid w:val="0"/>
        <w:spacing w:line="360" w:lineRule="auto"/>
        <w:ind w:firstLine="481" w:firstLineChars="188"/>
        <w:jc w:val="left"/>
        <w:rPr>
          <w:rFonts w:hAnsi="宋体"/>
          <w:spacing w:val="8"/>
          <w:sz w:val="24"/>
          <w:szCs w:val="24"/>
        </w:rPr>
      </w:pPr>
    </w:p>
    <w:p>
      <w:pPr>
        <w:adjustRightInd w:val="0"/>
        <w:snapToGrid w:val="0"/>
        <w:spacing w:line="360" w:lineRule="auto"/>
        <w:ind w:firstLine="480" w:firstLineChars="200"/>
        <w:jc w:val="left"/>
        <w:rPr>
          <w:rFonts w:hAnsi="宋体"/>
          <w:color w:val="000000"/>
          <w:sz w:val="24"/>
        </w:rPr>
      </w:pPr>
      <w:r>
        <w:rPr>
          <w:rFonts w:hint="eastAsia" w:hAnsi="宋体"/>
          <w:color w:val="000000"/>
          <w:sz w:val="24"/>
        </w:rPr>
        <w:t>一、评标办法</w:t>
      </w:r>
    </w:p>
    <w:p>
      <w:pPr>
        <w:adjustRightInd w:val="0"/>
        <w:snapToGrid w:val="0"/>
        <w:spacing w:line="360" w:lineRule="auto"/>
        <w:ind w:left="480"/>
        <w:jc w:val="left"/>
        <w:rPr>
          <w:rFonts w:hAnsi="宋体"/>
          <w:color w:val="000000"/>
          <w:sz w:val="24"/>
        </w:rPr>
      </w:pPr>
      <w:r>
        <w:rPr>
          <w:rFonts w:hint="eastAsia" w:hAnsi="宋体"/>
          <w:color w:val="000000"/>
          <w:sz w:val="24"/>
        </w:rPr>
        <w:t>本次评标采用综合评标法。</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二、评分办法说明</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对各投标文件进行详细评审打分，满分为</w:t>
      </w:r>
      <w:r>
        <w:rPr>
          <w:rFonts w:hAnsi="宋体"/>
          <w:color w:val="000000"/>
          <w:sz w:val="24"/>
        </w:rPr>
        <w:t xml:space="preserve"> 100 </w:t>
      </w:r>
      <w:r>
        <w:rPr>
          <w:rFonts w:hint="eastAsia" w:hAnsi="宋体"/>
          <w:color w:val="000000"/>
          <w:sz w:val="24"/>
        </w:rPr>
        <w:t>分。各投标人所有评价指标得分之和为该投标人的综合得分。</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详细评分标准如下表：</w:t>
      </w:r>
      <w:r>
        <w:rPr>
          <w:rFonts w:hAnsi="宋体"/>
          <w:color w:val="000000"/>
          <w:sz w:val="24"/>
        </w:rPr>
        <w:t xml:space="preserve"> </w:t>
      </w:r>
    </w:p>
    <w:tbl>
      <w:tblPr>
        <w:tblStyle w:val="19"/>
        <w:tblpPr w:leftFromText="180" w:rightFromText="180" w:vertAnchor="text" w:tblpXSpec="center" w:tblpY="1"/>
        <w:tblOverlap w:val="never"/>
        <w:tblW w:w="0" w:type="auto"/>
        <w:tblInd w:w="-29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950"/>
        <w:gridCol w:w="505"/>
        <w:gridCol w:w="7117"/>
        <w:gridCol w:w="46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vAlign w:val="center"/>
          </w:tcPr>
          <w:p>
            <w:pPr>
              <w:adjustRightInd w:val="0"/>
              <w:snapToGrid w:val="0"/>
              <w:spacing w:line="360" w:lineRule="auto"/>
              <w:ind w:firstLine="28"/>
              <w:jc w:val="center"/>
              <w:rPr>
                <w:rFonts w:cs="仿宋" w:asciiTheme="minorEastAsia" w:hAnsiTheme="minorEastAsia" w:eastAsiaTheme="minorEastAsia"/>
                <w:b/>
                <w:bCs/>
                <w:kern w:val="2"/>
                <w:sz w:val="21"/>
                <w:szCs w:val="21"/>
              </w:rPr>
            </w:pPr>
            <w:r>
              <w:rPr>
                <w:rFonts w:hint="eastAsia" w:cs="仿宋" w:asciiTheme="minorEastAsia" w:hAnsiTheme="minorEastAsia" w:eastAsiaTheme="minorEastAsia"/>
                <w:b/>
                <w:bCs/>
                <w:sz w:val="21"/>
                <w:szCs w:val="21"/>
              </w:rPr>
              <w:t>序号</w:t>
            </w:r>
          </w:p>
        </w:tc>
        <w:tc>
          <w:tcPr>
            <w:tcW w:w="0" w:type="auto"/>
            <w:tcBorders>
              <w:tl2br w:val="nil"/>
              <w:tr2bl w:val="nil"/>
            </w:tcBorders>
            <w:vAlign w:val="center"/>
          </w:tcPr>
          <w:p>
            <w:pPr>
              <w:adjustRightInd w:val="0"/>
              <w:snapToGrid w:val="0"/>
              <w:spacing w:line="360" w:lineRule="auto"/>
              <w:ind w:firstLine="28"/>
              <w:jc w:val="center"/>
              <w:rPr>
                <w:rFonts w:cs="仿宋" w:asciiTheme="minorEastAsia" w:hAnsiTheme="minorEastAsia" w:eastAsiaTheme="minorEastAsia"/>
                <w:b/>
                <w:bCs/>
                <w:sz w:val="21"/>
                <w:szCs w:val="21"/>
              </w:rPr>
            </w:pPr>
            <w:r>
              <w:rPr>
                <w:rFonts w:hint="eastAsia" w:cs="仿宋" w:asciiTheme="minorEastAsia" w:hAnsiTheme="minorEastAsia" w:eastAsiaTheme="minorEastAsia"/>
                <w:b/>
                <w:bCs/>
                <w:sz w:val="21"/>
                <w:szCs w:val="21"/>
              </w:rPr>
              <w:t>评分因素及权重</w:t>
            </w:r>
          </w:p>
        </w:tc>
        <w:tc>
          <w:tcPr>
            <w:tcW w:w="0" w:type="auto"/>
            <w:tcBorders>
              <w:tl2br w:val="nil"/>
              <w:tr2bl w:val="nil"/>
            </w:tcBorders>
            <w:vAlign w:val="center"/>
          </w:tcPr>
          <w:p>
            <w:pPr>
              <w:adjustRightInd w:val="0"/>
              <w:snapToGrid w:val="0"/>
              <w:spacing w:line="360" w:lineRule="auto"/>
              <w:ind w:firstLine="28"/>
              <w:jc w:val="center"/>
              <w:rPr>
                <w:rFonts w:cs="仿宋" w:asciiTheme="minorEastAsia" w:hAnsiTheme="minorEastAsia" w:eastAsiaTheme="minorEastAsia"/>
                <w:b/>
                <w:bCs/>
                <w:kern w:val="2"/>
                <w:sz w:val="21"/>
                <w:szCs w:val="21"/>
              </w:rPr>
            </w:pPr>
            <w:r>
              <w:rPr>
                <w:rFonts w:hint="eastAsia" w:cs="仿宋" w:asciiTheme="minorEastAsia" w:hAnsiTheme="minorEastAsia" w:eastAsiaTheme="minorEastAsia"/>
                <w:b/>
                <w:bCs/>
                <w:sz w:val="21"/>
                <w:szCs w:val="21"/>
              </w:rPr>
              <w:t>分值</w:t>
            </w:r>
          </w:p>
        </w:tc>
        <w:tc>
          <w:tcPr>
            <w:tcW w:w="0" w:type="auto"/>
            <w:tcBorders>
              <w:tl2br w:val="nil"/>
              <w:tr2bl w:val="nil"/>
            </w:tcBorders>
            <w:vAlign w:val="center"/>
          </w:tcPr>
          <w:p>
            <w:pPr>
              <w:adjustRightInd w:val="0"/>
              <w:snapToGrid w:val="0"/>
              <w:spacing w:line="360" w:lineRule="auto"/>
              <w:ind w:firstLine="28"/>
              <w:jc w:val="center"/>
              <w:rPr>
                <w:rFonts w:cs="仿宋" w:asciiTheme="minorEastAsia" w:hAnsiTheme="minorEastAsia" w:eastAsiaTheme="minorEastAsia"/>
                <w:b/>
                <w:bCs/>
                <w:kern w:val="2"/>
                <w:sz w:val="21"/>
                <w:szCs w:val="21"/>
              </w:rPr>
            </w:pPr>
            <w:r>
              <w:rPr>
                <w:rFonts w:hint="eastAsia" w:cs="仿宋" w:asciiTheme="minorEastAsia" w:hAnsiTheme="minorEastAsia" w:eastAsiaTheme="minorEastAsia"/>
                <w:b/>
                <w:bCs/>
                <w:sz w:val="21"/>
                <w:szCs w:val="21"/>
              </w:rPr>
              <w:t>评分标准</w:t>
            </w:r>
          </w:p>
        </w:tc>
        <w:tc>
          <w:tcPr>
            <w:tcW w:w="0" w:type="auto"/>
            <w:tcBorders>
              <w:tl2br w:val="nil"/>
              <w:tr2bl w:val="nil"/>
            </w:tcBorders>
            <w:vAlign w:val="center"/>
          </w:tcPr>
          <w:p>
            <w:pPr>
              <w:adjustRightInd w:val="0"/>
              <w:snapToGrid w:val="0"/>
              <w:spacing w:line="360" w:lineRule="auto"/>
              <w:jc w:val="center"/>
              <w:rPr>
                <w:rFonts w:cs="仿宋" w:asciiTheme="minorEastAsia" w:hAnsiTheme="minorEastAsia" w:eastAsiaTheme="minorEastAsia"/>
                <w:b/>
                <w:bCs/>
                <w:kern w:val="2"/>
                <w:sz w:val="21"/>
                <w:szCs w:val="21"/>
              </w:rPr>
            </w:pPr>
            <w:r>
              <w:rPr>
                <w:rFonts w:hint="eastAsia" w:cs="仿宋" w:asciiTheme="minorEastAsia" w:hAnsiTheme="minorEastAsia" w:eastAsiaTheme="minorEastAsia"/>
                <w:b/>
                <w:bCs/>
                <w:sz w:val="21"/>
                <w:szCs w:val="21"/>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vAlign w:val="center"/>
          </w:tcPr>
          <w:p>
            <w:pPr>
              <w:adjustRightInd w:val="0"/>
              <w:snapToGrid w:val="0"/>
              <w:spacing w:line="360" w:lineRule="auto"/>
              <w:ind w:firstLine="28"/>
              <w:jc w:val="center"/>
              <w:rPr>
                <w:rFonts w:cs="仿宋" w:asciiTheme="minorEastAsia" w:hAnsiTheme="minorEastAsia" w:eastAsiaTheme="minorEastAsia"/>
                <w:kern w:val="2"/>
                <w:sz w:val="21"/>
                <w:szCs w:val="21"/>
              </w:rPr>
            </w:pPr>
            <w:r>
              <w:rPr>
                <w:rFonts w:hint="eastAsia" w:cs="仿宋" w:asciiTheme="minorEastAsia" w:hAnsiTheme="minorEastAsia" w:eastAsiaTheme="minorEastAsia"/>
                <w:sz w:val="21"/>
                <w:szCs w:val="21"/>
              </w:rPr>
              <w:t>1</w:t>
            </w:r>
          </w:p>
        </w:tc>
        <w:tc>
          <w:tcPr>
            <w:tcW w:w="0" w:type="auto"/>
            <w:tcBorders>
              <w:tl2br w:val="nil"/>
              <w:tr2bl w:val="nil"/>
            </w:tcBorders>
            <w:vAlign w:val="center"/>
          </w:tcPr>
          <w:p>
            <w:pPr>
              <w:adjustRightInd w:val="0"/>
              <w:snapToGrid w:val="0"/>
              <w:spacing w:line="360" w:lineRule="auto"/>
              <w:ind w:firstLine="28"/>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报价</w:t>
            </w:r>
          </w:p>
        </w:tc>
        <w:tc>
          <w:tcPr>
            <w:tcW w:w="0" w:type="auto"/>
            <w:tcBorders>
              <w:tl2br w:val="nil"/>
              <w:tr2bl w:val="nil"/>
            </w:tcBorders>
            <w:vAlign w:val="center"/>
          </w:tcPr>
          <w:p>
            <w:pPr>
              <w:adjustRightInd w:val="0"/>
              <w:snapToGrid w:val="0"/>
              <w:spacing w:line="360" w:lineRule="auto"/>
              <w:ind w:firstLine="28"/>
              <w:jc w:val="center"/>
              <w:rPr>
                <w:rFonts w:cs="仿宋" w:asciiTheme="minorEastAsia" w:hAnsiTheme="minorEastAsia" w:eastAsiaTheme="minorEastAsia"/>
                <w:kern w:val="2"/>
                <w:sz w:val="21"/>
                <w:szCs w:val="21"/>
              </w:rPr>
            </w:pPr>
            <w:r>
              <w:rPr>
                <w:rFonts w:hint="eastAsia" w:cs="仿宋" w:asciiTheme="minorEastAsia" w:hAnsiTheme="minorEastAsia" w:eastAsiaTheme="minorEastAsia"/>
                <w:sz w:val="21"/>
                <w:szCs w:val="21"/>
              </w:rPr>
              <w:t>10分</w:t>
            </w:r>
          </w:p>
        </w:tc>
        <w:tc>
          <w:tcPr>
            <w:tcW w:w="0" w:type="auto"/>
            <w:tcBorders>
              <w:tl2br w:val="nil"/>
              <w:tr2bl w:val="nil"/>
            </w:tcBorders>
            <w:vAlign w:val="center"/>
          </w:tcPr>
          <w:p>
            <w:pPr>
              <w:wordWrap w:val="0"/>
              <w:spacing w:line="360" w:lineRule="auto"/>
              <w:textAlignment w:val="baseline"/>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满足</w:t>
            </w:r>
            <w:r>
              <w:rPr>
                <w:rFonts w:hint="eastAsia" w:cs="仿宋" w:asciiTheme="minorEastAsia" w:hAnsiTheme="minorEastAsia" w:eastAsiaTheme="minorEastAsia"/>
                <w:sz w:val="21"/>
                <w:szCs w:val="21"/>
                <w:lang w:eastAsia="zh-CN"/>
              </w:rPr>
              <w:t>招标</w:t>
            </w:r>
            <w:r>
              <w:rPr>
                <w:rFonts w:hint="eastAsia" w:cs="仿宋" w:asciiTheme="minorEastAsia" w:hAnsiTheme="minorEastAsia" w:eastAsiaTheme="minorEastAsia"/>
                <w:sz w:val="21"/>
                <w:szCs w:val="21"/>
              </w:rPr>
              <w:t>文件要求且价格最低的报价为评标基准价，其价格分为满分。其他供应商的价格分统一按照下列公式计算：</w:t>
            </w:r>
          </w:p>
          <w:p>
            <w:pPr>
              <w:widowControl/>
              <w:wordWrap w:val="0"/>
              <w:spacing w:line="360" w:lineRule="auto"/>
              <w:jc w:val="left"/>
              <w:textAlignment w:val="baseline"/>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1.基础套餐（必检项目）=(评审基准价/报价）×100×4%；</w:t>
            </w:r>
          </w:p>
          <w:p>
            <w:pPr>
              <w:widowControl/>
              <w:wordWrap w:val="0"/>
              <w:spacing w:line="360" w:lineRule="auto"/>
              <w:jc w:val="left"/>
              <w:textAlignment w:val="baseline"/>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2.可选套餐1=(评审基准价/报价）×100×2%；</w:t>
            </w:r>
          </w:p>
          <w:p>
            <w:pPr>
              <w:widowControl/>
              <w:wordWrap w:val="0"/>
              <w:spacing w:line="360" w:lineRule="auto"/>
              <w:jc w:val="left"/>
              <w:textAlignment w:val="baseline"/>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3.可选套餐2=(评审基准价/报价）×100×2%；</w:t>
            </w:r>
          </w:p>
          <w:p>
            <w:pPr>
              <w:widowControl/>
              <w:wordWrap w:val="0"/>
              <w:spacing w:line="360" w:lineRule="auto"/>
              <w:jc w:val="left"/>
              <w:textAlignment w:val="baseline"/>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4.可选套餐3=(评审基准价/报价）×100×2%。</w:t>
            </w:r>
          </w:p>
          <w:p>
            <w:pPr>
              <w:pStyle w:val="2"/>
              <w:rPr>
                <w:rFonts w:asciiTheme="minorEastAsia" w:hAnsiTheme="minorEastAsia" w:eastAsiaTheme="minorEastAsia"/>
                <w:szCs w:val="21"/>
              </w:rPr>
            </w:pPr>
            <w:r>
              <w:rPr>
                <w:rFonts w:hint="eastAsia" w:cs="仿宋" w:asciiTheme="minorEastAsia" w:hAnsiTheme="minorEastAsia" w:eastAsiaTheme="minorEastAsia"/>
                <w:kern w:val="0"/>
                <w:szCs w:val="21"/>
              </w:rPr>
              <w:t>教职工体检套餐按照“</w:t>
            </w:r>
            <w:r>
              <w:rPr>
                <w:rFonts w:cs="仿宋" w:asciiTheme="minorEastAsia" w:hAnsiTheme="minorEastAsia" w:eastAsiaTheme="minorEastAsia"/>
                <w:kern w:val="0"/>
                <w:szCs w:val="21"/>
              </w:rPr>
              <w:t>1+X”（</w:t>
            </w:r>
            <w:r>
              <w:rPr>
                <w:rFonts w:hint="eastAsia" w:cs="仿宋" w:asciiTheme="minorEastAsia" w:hAnsiTheme="minorEastAsia" w:eastAsiaTheme="minorEastAsia"/>
                <w:kern w:val="0"/>
                <w:szCs w:val="21"/>
              </w:rPr>
              <w:t>基础套餐</w:t>
            </w:r>
            <w:r>
              <w:rPr>
                <w:rFonts w:cs="仿宋" w:asciiTheme="minorEastAsia" w:hAnsiTheme="minorEastAsia" w:eastAsiaTheme="minorEastAsia"/>
                <w:kern w:val="0"/>
                <w:szCs w:val="21"/>
              </w:rPr>
              <w:t>+个</w:t>
            </w:r>
            <w:r>
              <w:rPr>
                <w:rFonts w:hint="eastAsia" w:cs="仿宋" w:asciiTheme="minorEastAsia" w:hAnsiTheme="minorEastAsia" w:eastAsiaTheme="minorEastAsia"/>
                <w:szCs w:val="21"/>
              </w:rPr>
              <w:t>可选套餐</w:t>
            </w:r>
            <w:r>
              <w:rPr>
                <w:rFonts w:cs="仿宋" w:asciiTheme="minorEastAsia" w:hAnsiTheme="minorEastAsia" w:eastAsiaTheme="minorEastAsia"/>
                <w:kern w:val="0"/>
                <w:szCs w:val="21"/>
              </w:rPr>
              <w:t>）模式， 根据所选套餐核定套餐单价，每位教职工只能选择“1+X1”或“1+X2”或“1+X3”， 套餐单价报价均不得超过报价要求。</w:t>
            </w:r>
          </w:p>
        </w:tc>
        <w:tc>
          <w:tcPr>
            <w:tcW w:w="0" w:type="auto"/>
            <w:tcBorders>
              <w:tl2br w:val="nil"/>
              <w:tr2bl w:val="nil"/>
            </w:tcBorders>
            <w:vAlign w:val="center"/>
          </w:tcPr>
          <w:p>
            <w:pPr>
              <w:adjustRightInd w:val="0"/>
              <w:snapToGrid w:val="0"/>
              <w:spacing w:line="360" w:lineRule="auto"/>
              <w:ind w:left="-40"/>
              <w:jc w:val="left"/>
              <w:rPr>
                <w:rFonts w:cs="仿宋" w:asciiTheme="minorEastAsia" w:hAnsiTheme="minorEastAsia" w:eastAsiaTheme="minorEastAsia"/>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vAlign w:val="center"/>
          </w:tcPr>
          <w:p>
            <w:pPr>
              <w:adjustRightInd w:val="0"/>
              <w:snapToGrid w:val="0"/>
              <w:spacing w:line="360" w:lineRule="auto"/>
              <w:ind w:firstLine="28"/>
              <w:jc w:val="center"/>
              <w:rPr>
                <w:rFonts w:cs="仿宋" w:asciiTheme="minorEastAsia" w:hAnsiTheme="minorEastAsia" w:eastAsiaTheme="minorEastAsia"/>
                <w:kern w:val="2"/>
                <w:sz w:val="21"/>
                <w:szCs w:val="21"/>
              </w:rPr>
            </w:pPr>
            <w:r>
              <w:rPr>
                <w:rFonts w:hint="eastAsia" w:cs="仿宋" w:asciiTheme="minorEastAsia" w:hAnsiTheme="minorEastAsia" w:eastAsiaTheme="minorEastAsia"/>
                <w:sz w:val="21"/>
                <w:szCs w:val="21"/>
              </w:rPr>
              <w:t>2</w:t>
            </w:r>
          </w:p>
        </w:tc>
        <w:tc>
          <w:tcPr>
            <w:tcW w:w="0" w:type="auto"/>
            <w:tcBorders>
              <w:tl2br w:val="nil"/>
              <w:tr2bl w:val="nil"/>
            </w:tcBorders>
            <w:vAlign w:val="center"/>
          </w:tcPr>
          <w:p>
            <w:pPr>
              <w:adjustRightInd w:val="0"/>
              <w:snapToGrid w:val="0"/>
              <w:spacing w:line="360" w:lineRule="auto"/>
              <w:ind w:left="102" w:leftChars="30"/>
              <w:jc w:val="center"/>
              <w:rPr>
                <w:rFonts w:cs="仿宋" w:asciiTheme="minorEastAsia" w:hAnsiTheme="minorEastAsia" w:eastAsiaTheme="minorEastAsia"/>
                <w:kern w:val="2"/>
                <w:sz w:val="21"/>
                <w:szCs w:val="21"/>
              </w:rPr>
            </w:pPr>
            <w:r>
              <w:rPr>
                <w:rFonts w:hint="eastAsia" w:cs="仿宋" w:asciiTheme="minorEastAsia" w:hAnsiTheme="minorEastAsia" w:eastAsiaTheme="minorEastAsia"/>
                <w:sz w:val="21"/>
                <w:szCs w:val="21"/>
              </w:rPr>
              <w:t>服务方案</w:t>
            </w:r>
          </w:p>
        </w:tc>
        <w:tc>
          <w:tcPr>
            <w:tcW w:w="0" w:type="auto"/>
            <w:tcBorders>
              <w:tl2br w:val="nil"/>
              <w:tr2bl w:val="nil"/>
            </w:tcBorders>
            <w:vAlign w:val="center"/>
          </w:tcPr>
          <w:p>
            <w:pPr>
              <w:adjustRightInd w:val="0"/>
              <w:snapToGrid w:val="0"/>
              <w:spacing w:line="360" w:lineRule="auto"/>
              <w:jc w:val="center"/>
              <w:rPr>
                <w:rFonts w:cs="仿宋" w:asciiTheme="minorEastAsia" w:hAnsiTheme="minorEastAsia" w:eastAsiaTheme="minorEastAsia"/>
                <w:kern w:val="2"/>
                <w:sz w:val="21"/>
                <w:szCs w:val="21"/>
              </w:rPr>
            </w:pPr>
            <w:r>
              <w:rPr>
                <w:rFonts w:hint="eastAsia" w:cs="仿宋" w:asciiTheme="minorEastAsia" w:hAnsiTheme="minorEastAsia" w:eastAsiaTheme="minorEastAsia"/>
                <w:sz w:val="21"/>
                <w:szCs w:val="21"/>
              </w:rPr>
              <w:t>18分</w:t>
            </w:r>
          </w:p>
        </w:tc>
        <w:tc>
          <w:tcPr>
            <w:tcW w:w="0" w:type="auto"/>
            <w:tcBorders>
              <w:tl2br w:val="nil"/>
              <w:tr2bl w:val="nil"/>
            </w:tcBorders>
            <w:vAlign w:val="center"/>
          </w:tcPr>
          <w:p>
            <w:pPr>
              <w:pStyle w:val="6"/>
              <w:spacing w:line="360" w:lineRule="auto"/>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根据供应商针对本项目提供的体检计划（包括总体考虑、具体场次安排、人数安排、体检流程安排）进行评审，每有一项上述细化指标得2分，最多得8分；缺少一项内容或者其中一项内容不能满足实际需求或相关内容阐述简略或与本项目不匹配的扣2分，扣完为止。</w:t>
            </w:r>
          </w:p>
          <w:p>
            <w:pPr>
              <w:pStyle w:val="6"/>
              <w:spacing w:line="360" w:lineRule="auto"/>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根据供应商针对本项目提供的应急措施方案（包括交通应急、急救应急、突发公共卫生事件应急、传染病防控应急、新冠肺炎疫情应急）进行评审，每有一项上述细化指标得2分，最多得10分；缺少一项内容或者其中一项内容不能满足实际需求或相关内容阐述简略或与本项目不匹配的扣2分，扣完为止。</w:t>
            </w:r>
          </w:p>
        </w:tc>
        <w:tc>
          <w:tcPr>
            <w:tcW w:w="0" w:type="auto"/>
            <w:tcBorders>
              <w:tl2br w:val="nil"/>
              <w:tr2bl w:val="nil"/>
            </w:tcBorders>
            <w:vAlign w:val="center"/>
          </w:tcPr>
          <w:p>
            <w:pPr>
              <w:adjustRightInd w:val="0"/>
              <w:snapToGrid w:val="0"/>
              <w:spacing w:line="360" w:lineRule="auto"/>
              <w:jc w:val="center"/>
              <w:rPr>
                <w:rFonts w:cs="仿宋" w:asciiTheme="minorEastAsia" w:hAnsiTheme="minorEastAsia" w:eastAsiaTheme="minorEastAsia"/>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vAlign w:val="center"/>
          </w:tcPr>
          <w:p>
            <w:pPr>
              <w:adjustRightInd w:val="0"/>
              <w:snapToGrid w:val="0"/>
              <w:spacing w:line="360" w:lineRule="auto"/>
              <w:ind w:firstLine="28"/>
              <w:jc w:val="center"/>
              <w:rPr>
                <w:rFonts w:cs="仿宋" w:asciiTheme="minorEastAsia" w:hAnsiTheme="minorEastAsia" w:eastAsiaTheme="minorEastAsia"/>
                <w:kern w:val="2"/>
                <w:sz w:val="21"/>
                <w:szCs w:val="21"/>
              </w:rPr>
            </w:pPr>
            <w:r>
              <w:rPr>
                <w:rFonts w:hint="eastAsia" w:cs="仿宋" w:asciiTheme="minorEastAsia" w:hAnsiTheme="minorEastAsia" w:eastAsiaTheme="minorEastAsia"/>
                <w:sz w:val="21"/>
                <w:szCs w:val="21"/>
              </w:rPr>
              <w:t>3</w:t>
            </w:r>
          </w:p>
        </w:tc>
        <w:tc>
          <w:tcPr>
            <w:tcW w:w="0" w:type="auto"/>
            <w:tcBorders>
              <w:tl2br w:val="nil"/>
              <w:tr2bl w:val="nil"/>
            </w:tcBorders>
            <w:vAlign w:val="center"/>
          </w:tcPr>
          <w:p>
            <w:pPr>
              <w:adjustRightInd w:val="0"/>
              <w:snapToGrid w:val="0"/>
              <w:spacing w:line="360" w:lineRule="auto"/>
              <w:ind w:left="102" w:leftChars="30"/>
              <w:jc w:val="center"/>
              <w:rPr>
                <w:rFonts w:cs="仿宋" w:asciiTheme="minorEastAsia" w:hAnsiTheme="minorEastAsia" w:eastAsiaTheme="minorEastAsia"/>
                <w:kern w:val="2"/>
                <w:sz w:val="21"/>
                <w:szCs w:val="21"/>
              </w:rPr>
            </w:pPr>
            <w:r>
              <w:rPr>
                <w:rFonts w:hint="eastAsia" w:cs="仿宋" w:asciiTheme="minorEastAsia" w:hAnsiTheme="minorEastAsia" w:eastAsiaTheme="minorEastAsia"/>
                <w:sz w:val="21"/>
                <w:szCs w:val="21"/>
              </w:rPr>
              <w:t>体检后续服务方案</w:t>
            </w:r>
          </w:p>
        </w:tc>
        <w:tc>
          <w:tcPr>
            <w:tcW w:w="0" w:type="auto"/>
            <w:tcBorders>
              <w:tl2br w:val="nil"/>
              <w:tr2bl w:val="nil"/>
            </w:tcBorders>
            <w:vAlign w:val="center"/>
          </w:tcPr>
          <w:p>
            <w:pPr>
              <w:adjustRightInd w:val="0"/>
              <w:snapToGrid w:val="0"/>
              <w:spacing w:line="360" w:lineRule="auto"/>
              <w:jc w:val="center"/>
              <w:rPr>
                <w:rFonts w:cs="仿宋" w:asciiTheme="minorEastAsia" w:hAnsiTheme="minorEastAsia" w:eastAsiaTheme="minorEastAsia"/>
                <w:kern w:val="2"/>
                <w:sz w:val="21"/>
                <w:szCs w:val="21"/>
              </w:rPr>
            </w:pPr>
            <w:r>
              <w:rPr>
                <w:rFonts w:hint="eastAsia" w:cs="仿宋" w:asciiTheme="minorEastAsia" w:hAnsiTheme="minorEastAsia" w:eastAsiaTheme="minorEastAsia"/>
                <w:sz w:val="21"/>
                <w:szCs w:val="21"/>
              </w:rPr>
              <w:t>12分</w:t>
            </w:r>
          </w:p>
        </w:tc>
        <w:tc>
          <w:tcPr>
            <w:tcW w:w="0" w:type="auto"/>
            <w:tcBorders>
              <w:tl2br w:val="nil"/>
              <w:tr2bl w:val="nil"/>
            </w:tcBorders>
            <w:vAlign w:val="center"/>
          </w:tcPr>
          <w:p>
            <w:pPr>
              <w:pStyle w:val="6"/>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w:t>
            </w:r>
            <w:r>
              <w:rPr>
                <w:rFonts w:cs="仿宋" w:asciiTheme="minorEastAsia" w:hAnsiTheme="minorEastAsia" w:eastAsiaTheme="minorEastAsia"/>
                <w:sz w:val="21"/>
                <w:szCs w:val="21"/>
              </w:rPr>
              <w:t>供应商</w:t>
            </w:r>
            <w:r>
              <w:rPr>
                <w:rFonts w:hint="eastAsia" w:cs="仿宋" w:asciiTheme="minorEastAsia" w:hAnsiTheme="minorEastAsia" w:eastAsiaTheme="minorEastAsia"/>
                <w:sz w:val="21"/>
                <w:szCs w:val="21"/>
              </w:rPr>
              <w:t>提供体检后续服务，包含：体检报告网上查询、病症追踪、健康管理建议、团检分析。完全包含以上几点且满足采购需求的得 4 分。每缺少一项内容或有一项内容错误（内容错误指：方案涉及的内容与本项目要求不一致的，每缺少一项内容扣 1 分，每有一处错误扣 0.5 分，扣完为止。</w:t>
            </w:r>
          </w:p>
          <w:p>
            <w:pPr>
              <w:pStyle w:val="6"/>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2.体检发现重大疾病需进一步治疗的，能为受检者提供三级甲等医院或以上的就医绿色通道包含：复检、门诊挂号、住院手续办理。完全包含以上几点且满足采购需求的得 3 分。每缺少一项内容或有一项内容错误（内容错误指方案涉及的内容与本项目要求不一致）的，每缺少一项内容扣 1 分，每有一处错误扣 0.5 分，扣完为止。</w:t>
            </w:r>
          </w:p>
          <w:p>
            <w:pPr>
              <w:pStyle w:val="3"/>
              <w:snapToGrid w:val="0"/>
              <w:spacing w:before="0" w:after="0" w:line="240" w:lineRule="auto"/>
              <w:rPr>
                <w:rFonts w:hAnsi="宋体"/>
                <w:b w:val="0"/>
                <w:sz w:val="32"/>
                <w:szCs w:val="32"/>
              </w:rPr>
            </w:pPr>
            <w:r>
              <w:rPr>
                <w:rFonts w:hint="eastAsia" w:cs="仿宋" w:asciiTheme="minorEastAsia" w:hAnsiTheme="minorEastAsia" w:eastAsiaTheme="minorEastAsia"/>
                <w:b w:val="0"/>
                <w:sz w:val="21"/>
                <w:szCs w:val="21"/>
              </w:rPr>
              <w:t>3.</w:t>
            </w:r>
            <w:r>
              <w:rPr>
                <w:rFonts w:cs="仿宋" w:asciiTheme="minorEastAsia" w:hAnsiTheme="minorEastAsia" w:eastAsiaTheme="minorEastAsia"/>
                <w:b w:val="0"/>
                <w:sz w:val="21"/>
                <w:szCs w:val="21"/>
              </w:rPr>
              <w:t>供应商</w:t>
            </w:r>
            <w:r>
              <w:rPr>
                <w:rFonts w:hint="eastAsia" w:cs="仿宋" w:asciiTheme="minorEastAsia" w:hAnsiTheme="minorEastAsia" w:eastAsiaTheme="minorEastAsia"/>
                <w:b w:val="0"/>
                <w:sz w:val="21"/>
                <w:szCs w:val="21"/>
              </w:rPr>
              <w:t>承诺为本项目检出的重大疾病教职工提供一次三级甲等医院或以上的专家会诊得 5分，提供一次三级乙等医院的专家会诊得3 分，其他不得分。本项目最多得 5分。注：提供医院</w:t>
            </w:r>
            <w:r>
              <w:rPr>
                <w:rFonts w:cs="仿宋" w:asciiTheme="minorEastAsia" w:hAnsiTheme="minorEastAsia" w:eastAsiaTheme="minorEastAsia"/>
                <w:b w:val="0"/>
                <w:sz w:val="21"/>
                <w:szCs w:val="21"/>
              </w:rPr>
              <w:t>资质证明材料及</w:t>
            </w:r>
            <w:r>
              <w:rPr>
                <w:rFonts w:hint="eastAsia" w:cs="仿宋" w:asciiTheme="minorEastAsia" w:hAnsiTheme="minorEastAsia" w:eastAsiaTheme="minorEastAsia"/>
                <w:b w:val="0"/>
                <w:sz w:val="21"/>
                <w:szCs w:val="21"/>
              </w:rPr>
              <w:t>书面承诺函并加盖</w:t>
            </w:r>
            <w:r>
              <w:rPr>
                <w:rFonts w:cs="仿宋" w:asciiTheme="minorEastAsia" w:hAnsiTheme="minorEastAsia" w:eastAsiaTheme="minorEastAsia"/>
                <w:b w:val="0"/>
                <w:sz w:val="21"/>
                <w:szCs w:val="21"/>
              </w:rPr>
              <w:t>供应商</w:t>
            </w:r>
            <w:r>
              <w:rPr>
                <w:rFonts w:hint="eastAsia" w:cs="仿宋" w:asciiTheme="minorEastAsia" w:hAnsiTheme="minorEastAsia" w:eastAsiaTheme="minorEastAsia"/>
                <w:b w:val="0"/>
                <w:sz w:val="21"/>
                <w:szCs w:val="21"/>
              </w:rPr>
              <w:t>鲜章，格式自拟。</w:t>
            </w:r>
          </w:p>
        </w:tc>
        <w:tc>
          <w:tcPr>
            <w:tcW w:w="0" w:type="auto"/>
            <w:tcBorders>
              <w:tl2br w:val="nil"/>
              <w:tr2bl w:val="nil"/>
            </w:tcBorders>
            <w:vAlign w:val="center"/>
          </w:tcPr>
          <w:p>
            <w:pPr>
              <w:adjustRightInd w:val="0"/>
              <w:snapToGrid w:val="0"/>
              <w:spacing w:line="360" w:lineRule="auto"/>
              <w:jc w:val="center"/>
              <w:rPr>
                <w:rFonts w:cs="仿宋" w:asciiTheme="minorEastAsia" w:hAnsiTheme="minorEastAsia" w:eastAsiaTheme="minorEastAsia"/>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vAlign w:val="center"/>
          </w:tcPr>
          <w:p>
            <w:pPr>
              <w:adjustRightInd w:val="0"/>
              <w:snapToGrid w:val="0"/>
              <w:spacing w:line="360" w:lineRule="auto"/>
              <w:ind w:firstLine="28"/>
              <w:jc w:val="center"/>
              <w:rPr>
                <w:rFonts w:cs="仿宋" w:asciiTheme="minorEastAsia" w:hAnsiTheme="minorEastAsia" w:eastAsiaTheme="minorEastAsia"/>
                <w:kern w:val="2"/>
                <w:sz w:val="21"/>
                <w:szCs w:val="21"/>
              </w:rPr>
            </w:pPr>
            <w:r>
              <w:rPr>
                <w:rFonts w:hint="eastAsia" w:cs="仿宋" w:asciiTheme="minorEastAsia" w:hAnsiTheme="minorEastAsia" w:eastAsiaTheme="minorEastAsia"/>
                <w:sz w:val="21"/>
                <w:szCs w:val="21"/>
              </w:rPr>
              <w:t>4</w:t>
            </w:r>
          </w:p>
        </w:tc>
        <w:tc>
          <w:tcPr>
            <w:tcW w:w="0" w:type="auto"/>
            <w:tcBorders>
              <w:tl2br w:val="nil"/>
              <w:tr2bl w:val="nil"/>
            </w:tcBorders>
            <w:vAlign w:val="center"/>
          </w:tcPr>
          <w:p>
            <w:pPr>
              <w:adjustRightInd w:val="0"/>
              <w:snapToGrid w:val="0"/>
              <w:spacing w:line="360" w:lineRule="auto"/>
              <w:ind w:left="102" w:leftChars="30"/>
              <w:jc w:val="center"/>
              <w:rPr>
                <w:rFonts w:cs="仿宋" w:asciiTheme="minorEastAsia" w:hAnsiTheme="minorEastAsia" w:eastAsiaTheme="minorEastAsia"/>
                <w:kern w:val="2"/>
                <w:sz w:val="21"/>
                <w:szCs w:val="21"/>
              </w:rPr>
            </w:pPr>
            <w:r>
              <w:rPr>
                <w:rFonts w:hint="eastAsia" w:cs="仿宋" w:asciiTheme="minorEastAsia" w:hAnsiTheme="minorEastAsia" w:eastAsiaTheme="minorEastAsia"/>
                <w:sz w:val="21"/>
                <w:szCs w:val="21"/>
              </w:rPr>
              <w:t>接待能力</w:t>
            </w:r>
          </w:p>
        </w:tc>
        <w:tc>
          <w:tcPr>
            <w:tcW w:w="0" w:type="auto"/>
            <w:tcBorders>
              <w:tl2br w:val="nil"/>
              <w:tr2bl w:val="nil"/>
            </w:tcBorders>
            <w:vAlign w:val="center"/>
          </w:tcPr>
          <w:p>
            <w:pPr>
              <w:adjustRightInd w:val="0"/>
              <w:snapToGrid w:val="0"/>
              <w:spacing w:line="360" w:lineRule="auto"/>
              <w:jc w:val="center"/>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6分</w:t>
            </w:r>
          </w:p>
        </w:tc>
        <w:tc>
          <w:tcPr>
            <w:tcW w:w="0" w:type="auto"/>
            <w:tcBorders>
              <w:tl2br w:val="nil"/>
              <w:tr2bl w:val="nil"/>
            </w:tcBorders>
            <w:vAlign w:val="center"/>
          </w:tcPr>
          <w:p>
            <w:pPr>
              <w:adjustRightInd w:val="0"/>
              <w:snapToGrid w:val="0"/>
              <w:spacing w:line="360" w:lineRule="auto"/>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针对本项目提供单日接待体检人次300人（含）以上得6分，200（含）-300人得4分，200人以下得2分。</w:t>
            </w:r>
          </w:p>
          <w:p>
            <w:pPr>
              <w:adjustRightInd w:val="0"/>
              <w:snapToGrid w:val="0"/>
              <w:spacing w:line="360" w:lineRule="auto"/>
              <w:rPr>
                <w:rFonts w:cs="仿宋" w:asciiTheme="minorEastAsia" w:hAnsiTheme="minorEastAsia" w:eastAsiaTheme="minorEastAsia"/>
                <w:kern w:val="2"/>
                <w:sz w:val="21"/>
                <w:szCs w:val="21"/>
              </w:rPr>
            </w:pPr>
            <w:r>
              <w:rPr>
                <w:rFonts w:hint="eastAsia" w:cs="仿宋" w:asciiTheme="minorEastAsia" w:hAnsiTheme="minorEastAsia" w:eastAsiaTheme="minorEastAsia"/>
                <w:sz w:val="21"/>
                <w:szCs w:val="21"/>
              </w:rPr>
              <w:t>注：提供日接待流水相关证明材料复印件或提供承诺函原件（格式自拟）并加盖供应商公章。</w:t>
            </w:r>
          </w:p>
        </w:tc>
        <w:tc>
          <w:tcPr>
            <w:tcW w:w="0" w:type="auto"/>
            <w:tcBorders>
              <w:tl2br w:val="nil"/>
              <w:tr2bl w:val="nil"/>
            </w:tcBorders>
            <w:vAlign w:val="center"/>
          </w:tcPr>
          <w:p>
            <w:pPr>
              <w:adjustRightInd w:val="0"/>
              <w:snapToGrid w:val="0"/>
              <w:spacing w:line="360" w:lineRule="auto"/>
              <w:jc w:val="center"/>
              <w:rPr>
                <w:rFonts w:cs="仿宋" w:asciiTheme="minorEastAsia" w:hAnsiTheme="minorEastAsia" w:eastAsiaTheme="minorEastAsia"/>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vAlign w:val="center"/>
          </w:tcPr>
          <w:p>
            <w:pPr>
              <w:adjustRightInd w:val="0"/>
              <w:snapToGrid w:val="0"/>
              <w:spacing w:line="360" w:lineRule="auto"/>
              <w:ind w:firstLine="28"/>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5</w:t>
            </w:r>
          </w:p>
        </w:tc>
        <w:tc>
          <w:tcPr>
            <w:tcW w:w="0" w:type="auto"/>
            <w:tcBorders>
              <w:tl2br w:val="nil"/>
              <w:tr2bl w:val="nil"/>
            </w:tcBorders>
            <w:vAlign w:val="center"/>
          </w:tcPr>
          <w:p>
            <w:pPr>
              <w:adjustRightInd w:val="0"/>
              <w:snapToGrid w:val="0"/>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项目团队配备</w:t>
            </w:r>
          </w:p>
        </w:tc>
        <w:tc>
          <w:tcPr>
            <w:tcW w:w="0" w:type="auto"/>
            <w:tcBorders>
              <w:tl2br w:val="nil"/>
              <w:tr2bl w:val="nil"/>
            </w:tcBorders>
            <w:vAlign w:val="center"/>
          </w:tcPr>
          <w:p>
            <w:pPr>
              <w:adjustRightInd w:val="0"/>
              <w:snapToGrid w:val="0"/>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24分</w:t>
            </w:r>
          </w:p>
        </w:tc>
        <w:tc>
          <w:tcPr>
            <w:tcW w:w="0" w:type="auto"/>
            <w:tcBorders>
              <w:tl2br w:val="nil"/>
              <w:tr2bl w:val="nil"/>
            </w:tcBorders>
            <w:vAlign w:val="center"/>
          </w:tcPr>
          <w:p>
            <w:pPr>
              <w:pStyle w:val="7"/>
              <w:adjustRightInd w:val="0"/>
              <w:snapToGrid w:val="0"/>
              <w:spacing w:after="0" w:line="360" w:lineRule="auto"/>
              <w:jc w:val="left"/>
              <w:rPr>
                <w:rFonts w:cs="仿宋" w:asciiTheme="minorEastAsia" w:hAnsiTheme="minorEastAsia" w:eastAsiaTheme="minorEastAsia"/>
                <w:spacing w:val="5"/>
                <w:sz w:val="21"/>
                <w:szCs w:val="21"/>
              </w:rPr>
            </w:pPr>
            <w:r>
              <w:rPr>
                <w:rFonts w:hint="eastAsia" w:cs="仿宋" w:asciiTheme="minorEastAsia" w:hAnsiTheme="minorEastAsia" w:eastAsiaTheme="minorEastAsia"/>
                <w:spacing w:val="5"/>
                <w:sz w:val="21"/>
                <w:szCs w:val="21"/>
              </w:rPr>
              <w:t>供应商为本项目提供的医疗技术人员在满足服务要求中人员要求的基础上：</w:t>
            </w:r>
          </w:p>
          <w:p>
            <w:pPr>
              <w:pStyle w:val="7"/>
              <w:adjustRightInd w:val="0"/>
              <w:snapToGrid w:val="0"/>
              <w:spacing w:after="0" w:line="360" w:lineRule="auto"/>
              <w:jc w:val="left"/>
              <w:rPr>
                <w:rFonts w:cs="仿宋" w:asciiTheme="minorEastAsia" w:hAnsiTheme="minorEastAsia" w:eastAsiaTheme="minorEastAsia"/>
                <w:spacing w:val="5"/>
                <w:sz w:val="21"/>
                <w:szCs w:val="21"/>
              </w:rPr>
            </w:pPr>
            <w:r>
              <w:rPr>
                <w:rFonts w:hint="eastAsia" w:cs="仿宋" w:asciiTheme="minorEastAsia" w:hAnsiTheme="minorEastAsia" w:eastAsiaTheme="minorEastAsia"/>
                <w:spacing w:val="5"/>
                <w:sz w:val="21"/>
                <w:szCs w:val="21"/>
              </w:rPr>
              <w:t>1.内科每增加1名副高级或以上职称人员加1分，最多得2分；</w:t>
            </w:r>
          </w:p>
          <w:p>
            <w:pPr>
              <w:pStyle w:val="7"/>
              <w:adjustRightInd w:val="0"/>
              <w:snapToGrid w:val="0"/>
              <w:spacing w:after="0" w:line="360" w:lineRule="auto"/>
              <w:jc w:val="left"/>
              <w:rPr>
                <w:rFonts w:cs="仿宋" w:asciiTheme="minorEastAsia" w:hAnsiTheme="minorEastAsia" w:eastAsiaTheme="minorEastAsia"/>
                <w:spacing w:val="5"/>
                <w:sz w:val="21"/>
                <w:szCs w:val="21"/>
              </w:rPr>
            </w:pPr>
            <w:r>
              <w:rPr>
                <w:rFonts w:hint="eastAsia" w:cs="仿宋" w:asciiTheme="minorEastAsia" w:hAnsiTheme="minorEastAsia" w:eastAsiaTheme="minorEastAsia"/>
                <w:spacing w:val="5"/>
                <w:sz w:val="21"/>
                <w:szCs w:val="21"/>
              </w:rPr>
              <w:t>2.外科每增加1名副高级或以上职称人员加1分，最多得2分；</w:t>
            </w:r>
          </w:p>
          <w:p>
            <w:pPr>
              <w:pStyle w:val="7"/>
              <w:adjustRightInd w:val="0"/>
              <w:snapToGrid w:val="0"/>
              <w:spacing w:after="0" w:line="360" w:lineRule="auto"/>
              <w:jc w:val="left"/>
              <w:rPr>
                <w:rFonts w:cs="仿宋" w:asciiTheme="minorEastAsia" w:hAnsiTheme="minorEastAsia" w:eastAsiaTheme="minorEastAsia"/>
                <w:spacing w:val="5"/>
                <w:sz w:val="21"/>
                <w:szCs w:val="21"/>
              </w:rPr>
            </w:pPr>
            <w:r>
              <w:rPr>
                <w:rFonts w:hint="eastAsia" w:cs="仿宋" w:asciiTheme="minorEastAsia" w:hAnsiTheme="minorEastAsia" w:eastAsiaTheme="minorEastAsia"/>
                <w:spacing w:val="5"/>
                <w:sz w:val="21"/>
                <w:szCs w:val="21"/>
              </w:rPr>
              <w:t>3.医学影像科每提供1名副高级或以上职称人员得1分，最多得2分；</w:t>
            </w:r>
          </w:p>
          <w:p>
            <w:pPr>
              <w:pStyle w:val="7"/>
              <w:adjustRightInd w:val="0"/>
              <w:snapToGrid w:val="0"/>
              <w:spacing w:after="0" w:line="360" w:lineRule="auto"/>
              <w:jc w:val="left"/>
              <w:rPr>
                <w:rFonts w:cs="仿宋" w:asciiTheme="minorEastAsia" w:hAnsiTheme="minorEastAsia" w:eastAsiaTheme="minorEastAsia"/>
                <w:spacing w:val="5"/>
                <w:sz w:val="21"/>
                <w:szCs w:val="21"/>
              </w:rPr>
            </w:pPr>
            <w:r>
              <w:rPr>
                <w:rFonts w:hint="eastAsia" w:cs="仿宋" w:asciiTheme="minorEastAsia" w:hAnsiTheme="minorEastAsia" w:eastAsiaTheme="minorEastAsia"/>
                <w:spacing w:val="5"/>
                <w:sz w:val="21"/>
                <w:szCs w:val="21"/>
              </w:rPr>
              <w:t>4.医学检验科每提供1名副高级或以上职称人员得1分，最多得2分；</w:t>
            </w:r>
          </w:p>
          <w:p>
            <w:pPr>
              <w:pStyle w:val="7"/>
              <w:adjustRightInd w:val="0"/>
              <w:snapToGrid w:val="0"/>
              <w:spacing w:after="0" w:line="360" w:lineRule="auto"/>
              <w:jc w:val="left"/>
              <w:rPr>
                <w:rFonts w:cs="仿宋" w:asciiTheme="minorEastAsia" w:hAnsiTheme="minorEastAsia" w:eastAsiaTheme="minorEastAsia"/>
                <w:spacing w:val="5"/>
                <w:sz w:val="21"/>
                <w:szCs w:val="21"/>
              </w:rPr>
            </w:pPr>
            <w:r>
              <w:rPr>
                <w:rFonts w:hint="eastAsia" w:cs="仿宋" w:asciiTheme="minorEastAsia" w:hAnsiTheme="minorEastAsia" w:eastAsiaTheme="minorEastAsia"/>
                <w:spacing w:val="5"/>
                <w:sz w:val="21"/>
                <w:szCs w:val="21"/>
              </w:rPr>
              <w:t>5.妇科每提供1名副高级或以上职称人员得1分，最多得2分；</w:t>
            </w:r>
          </w:p>
          <w:p>
            <w:pPr>
              <w:pStyle w:val="7"/>
              <w:adjustRightInd w:val="0"/>
              <w:snapToGrid w:val="0"/>
              <w:spacing w:line="360" w:lineRule="auto"/>
              <w:jc w:val="left"/>
              <w:rPr>
                <w:rFonts w:cs="仿宋" w:asciiTheme="minorEastAsia" w:hAnsiTheme="minorEastAsia" w:eastAsiaTheme="minorEastAsia"/>
                <w:spacing w:val="5"/>
                <w:sz w:val="21"/>
                <w:szCs w:val="21"/>
              </w:rPr>
            </w:pPr>
            <w:r>
              <w:rPr>
                <w:rFonts w:hint="eastAsia" w:cs="仿宋" w:asciiTheme="minorEastAsia" w:hAnsiTheme="minorEastAsia" w:eastAsiaTheme="minorEastAsia"/>
                <w:spacing w:val="5"/>
                <w:sz w:val="21"/>
                <w:szCs w:val="21"/>
              </w:rPr>
              <w:t xml:space="preserve">6.检后分析汇总，根据单位要求可组织本单位省级或以上重点专科专家到校进行专题讲座1 场及组织3 名本单位省级或以上重点专科专家到校进行一对一体检报告现场咨询的得6分 </w:t>
            </w:r>
          </w:p>
          <w:p>
            <w:pPr>
              <w:pStyle w:val="7"/>
              <w:adjustRightInd w:val="0"/>
              <w:snapToGrid w:val="0"/>
              <w:spacing w:after="0" w:line="360" w:lineRule="auto"/>
              <w:jc w:val="left"/>
              <w:rPr>
                <w:rFonts w:cs="仿宋" w:asciiTheme="minorEastAsia" w:hAnsiTheme="minorEastAsia" w:eastAsiaTheme="minorEastAsia"/>
                <w:spacing w:val="5"/>
                <w:sz w:val="21"/>
                <w:szCs w:val="21"/>
              </w:rPr>
            </w:pPr>
            <w:r>
              <w:rPr>
                <w:rFonts w:hint="eastAsia" w:cs="仿宋" w:asciiTheme="minorEastAsia" w:hAnsiTheme="minorEastAsia" w:eastAsiaTheme="minorEastAsia"/>
                <w:spacing w:val="5"/>
                <w:sz w:val="21"/>
                <w:szCs w:val="21"/>
              </w:rPr>
              <w:t>7.供应商从事健康体检涉及的相关科室（消化内科、医学影像学、心血管内科、健康管理）为市级重点学科每一项得2分，最多得8分。（提供相关证明材料并加盖公章）。</w:t>
            </w:r>
          </w:p>
          <w:p>
            <w:pPr>
              <w:adjustRightInd w:val="0"/>
              <w:snapToGrid w:val="0"/>
              <w:spacing w:line="360" w:lineRule="auto"/>
              <w:rPr>
                <w:rFonts w:cs="仿宋" w:asciiTheme="minorEastAsia" w:hAnsiTheme="minorEastAsia" w:eastAsiaTheme="minorEastAsia"/>
                <w:spacing w:val="5"/>
                <w:sz w:val="21"/>
                <w:szCs w:val="21"/>
              </w:rPr>
            </w:pPr>
            <w:r>
              <w:rPr>
                <w:rFonts w:hint="eastAsia" w:cs="仿宋" w:asciiTheme="minorEastAsia" w:hAnsiTheme="minorEastAsia" w:eastAsiaTheme="minorEastAsia"/>
                <w:spacing w:val="5"/>
                <w:sz w:val="21"/>
                <w:szCs w:val="21"/>
              </w:rPr>
              <w:t>注：①第1-6项提供执业医师的职称证复印件并加盖供应商公章，检验科医师提供技师证即可；②第7项中，省级或以上重点学科须提供评审相关文件；③执业医师和省级或以上重点学科专家执业地点须与供应商单位一致，若证书上无法体现，供应商也可提供医师执业地网上查询结果截图或其他能体现医师执业地点与供应商单位一致的有效证明材料。</w:t>
            </w:r>
          </w:p>
        </w:tc>
        <w:tc>
          <w:tcPr>
            <w:tcW w:w="0" w:type="auto"/>
            <w:tcBorders>
              <w:tl2br w:val="nil"/>
              <w:tr2bl w:val="nil"/>
            </w:tcBorders>
            <w:vAlign w:val="center"/>
          </w:tcPr>
          <w:p>
            <w:pPr>
              <w:adjustRightInd w:val="0"/>
              <w:snapToGrid w:val="0"/>
              <w:spacing w:line="360" w:lineRule="auto"/>
              <w:jc w:val="center"/>
              <w:rPr>
                <w:rFonts w:cs="仿宋" w:asciiTheme="minorEastAsia" w:hAnsiTheme="minorEastAsia" w:eastAsiaTheme="minorEastAsia"/>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vAlign w:val="center"/>
          </w:tcPr>
          <w:p>
            <w:pPr>
              <w:adjustRightInd w:val="0"/>
              <w:snapToGrid w:val="0"/>
              <w:spacing w:line="360" w:lineRule="auto"/>
              <w:ind w:firstLine="28"/>
              <w:jc w:val="center"/>
              <w:rPr>
                <w:rFonts w:cs="仿宋" w:asciiTheme="minorEastAsia" w:hAnsiTheme="minorEastAsia" w:eastAsiaTheme="minorEastAsia"/>
                <w:kern w:val="2"/>
                <w:sz w:val="21"/>
                <w:szCs w:val="21"/>
              </w:rPr>
            </w:pPr>
            <w:r>
              <w:rPr>
                <w:rFonts w:hint="eastAsia" w:cs="仿宋" w:asciiTheme="minorEastAsia" w:hAnsiTheme="minorEastAsia" w:eastAsiaTheme="minorEastAsia"/>
                <w:sz w:val="21"/>
                <w:szCs w:val="21"/>
              </w:rPr>
              <w:t>6</w:t>
            </w:r>
          </w:p>
        </w:tc>
        <w:tc>
          <w:tcPr>
            <w:tcW w:w="0" w:type="auto"/>
            <w:tcBorders>
              <w:tl2br w:val="nil"/>
              <w:tr2bl w:val="nil"/>
            </w:tcBorders>
            <w:vAlign w:val="center"/>
          </w:tcPr>
          <w:p>
            <w:pPr>
              <w:adjustRightInd w:val="0"/>
              <w:snapToGrid w:val="0"/>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质控保障方案</w:t>
            </w:r>
          </w:p>
        </w:tc>
        <w:tc>
          <w:tcPr>
            <w:tcW w:w="0" w:type="auto"/>
            <w:tcBorders>
              <w:tl2br w:val="nil"/>
              <w:tr2bl w:val="nil"/>
            </w:tcBorders>
            <w:vAlign w:val="center"/>
          </w:tcPr>
          <w:p>
            <w:pPr>
              <w:adjustRightInd w:val="0"/>
              <w:snapToGrid w:val="0"/>
              <w:spacing w:line="360" w:lineRule="auto"/>
              <w:jc w:val="center"/>
              <w:rPr>
                <w:rFonts w:cs="仿宋" w:asciiTheme="minorEastAsia" w:hAnsiTheme="minorEastAsia" w:eastAsiaTheme="minorEastAsia"/>
                <w:kern w:val="2"/>
                <w:sz w:val="21"/>
                <w:szCs w:val="21"/>
              </w:rPr>
            </w:pPr>
            <w:r>
              <w:rPr>
                <w:rFonts w:hint="eastAsia" w:cs="仿宋" w:asciiTheme="minorEastAsia" w:hAnsiTheme="minorEastAsia" w:eastAsiaTheme="minorEastAsia"/>
                <w:sz w:val="21"/>
                <w:szCs w:val="21"/>
              </w:rPr>
              <w:t>6分</w:t>
            </w:r>
          </w:p>
        </w:tc>
        <w:tc>
          <w:tcPr>
            <w:tcW w:w="0" w:type="auto"/>
            <w:tcBorders>
              <w:tl2br w:val="nil"/>
              <w:tr2bl w:val="nil"/>
            </w:tcBorders>
            <w:vAlign w:val="center"/>
          </w:tcPr>
          <w:p>
            <w:pPr>
              <w:pStyle w:val="2"/>
            </w:pPr>
            <w:r>
              <w:rPr>
                <w:rFonts w:hint="eastAsia" w:cs="仿宋" w:asciiTheme="minorEastAsia" w:hAnsiTheme="minorEastAsia" w:eastAsiaTheme="minorEastAsia"/>
                <w:szCs w:val="21"/>
              </w:rPr>
              <w:t>1.根据供应商针对本项目提供的质控保障方案（包括质量管理机构</w:t>
            </w:r>
            <w:r>
              <w:rPr>
                <w:rFonts w:hint="eastAsia" w:cs="仿宋" w:asciiTheme="minorEastAsia" w:hAnsiTheme="minorEastAsia" w:eastAsiaTheme="minorEastAsia"/>
                <w:spacing w:val="-5"/>
                <w:szCs w:val="21"/>
              </w:rPr>
              <w:t>、</w:t>
            </w:r>
            <w:r>
              <w:rPr>
                <w:rFonts w:hint="eastAsia" w:cs="仿宋" w:asciiTheme="minorEastAsia" w:hAnsiTheme="minorEastAsia" w:eastAsiaTheme="minorEastAsia"/>
                <w:szCs w:val="21"/>
              </w:rPr>
              <w:t>人员配置计划</w:t>
            </w:r>
            <w:r>
              <w:rPr>
                <w:rFonts w:hint="eastAsia" w:cs="仿宋" w:asciiTheme="minorEastAsia" w:hAnsiTheme="minorEastAsia" w:eastAsiaTheme="minorEastAsia"/>
                <w:spacing w:val="-10"/>
                <w:szCs w:val="21"/>
              </w:rPr>
              <w:t>、</w:t>
            </w:r>
            <w:r>
              <w:rPr>
                <w:rFonts w:hint="eastAsia" w:cs="仿宋" w:asciiTheme="minorEastAsia" w:hAnsiTheme="minorEastAsia" w:eastAsiaTheme="minorEastAsia"/>
                <w:szCs w:val="21"/>
              </w:rPr>
              <w:t>人员培训服务</w:t>
            </w:r>
            <w:r>
              <w:rPr>
                <w:rFonts w:hint="eastAsia" w:cs="仿宋" w:asciiTheme="minorEastAsia" w:hAnsiTheme="minorEastAsia" w:eastAsiaTheme="minorEastAsia"/>
                <w:spacing w:val="-5"/>
                <w:szCs w:val="21"/>
              </w:rPr>
              <w:t>、</w:t>
            </w:r>
            <w:r>
              <w:rPr>
                <w:rFonts w:hint="eastAsia" w:cs="仿宋" w:asciiTheme="minorEastAsia" w:hAnsiTheme="minorEastAsia" w:eastAsiaTheme="minorEastAsia"/>
                <w:szCs w:val="21"/>
              </w:rPr>
              <w:t>人员职能分工</w:t>
            </w:r>
            <w:r>
              <w:rPr>
                <w:rFonts w:hint="eastAsia" w:cs="仿宋" w:asciiTheme="minorEastAsia" w:hAnsiTheme="minorEastAsia" w:eastAsiaTheme="minorEastAsia"/>
                <w:spacing w:val="-5"/>
                <w:szCs w:val="21"/>
              </w:rPr>
              <w:t>、</w:t>
            </w:r>
            <w:r>
              <w:rPr>
                <w:rFonts w:hint="eastAsia" w:cs="仿宋" w:asciiTheme="minorEastAsia" w:hAnsiTheme="minorEastAsia" w:eastAsiaTheme="minorEastAsia"/>
                <w:szCs w:val="21"/>
              </w:rPr>
              <w:t>质量检查流程</w:t>
            </w:r>
            <w:r>
              <w:rPr>
                <w:rFonts w:hint="eastAsia" w:cs="仿宋" w:asciiTheme="minorEastAsia" w:hAnsiTheme="minorEastAsia" w:eastAsiaTheme="minorEastAsia"/>
                <w:spacing w:val="-5"/>
                <w:szCs w:val="21"/>
              </w:rPr>
              <w:t>、</w:t>
            </w:r>
            <w:r>
              <w:rPr>
                <w:rFonts w:hint="eastAsia" w:cs="仿宋" w:asciiTheme="minorEastAsia" w:hAnsiTheme="minorEastAsia" w:eastAsiaTheme="minorEastAsia"/>
                <w:szCs w:val="21"/>
              </w:rPr>
              <w:t>质量保障措施）进行评审，每具有一项得1分，最多得6分；每缺少一项内容扣 1分，每有一处错误扣0.5 分，扣完为止。</w:t>
            </w:r>
          </w:p>
        </w:tc>
        <w:tc>
          <w:tcPr>
            <w:tcW w:w="0" w:type="auto"/>
            <w:tcBorders>
              <w:tl2br w:val="nil"/>
              <w:tr2bl w:val="nil"/>
            </w:tcBorders>
            <w:vAlign w:val="center"/>
          </w:tcPr>
          <w:p>
            <w:pPr>
              <w:adjustRightInd w:val="0"/>
              <w:snapToGrid w:val="0"/>
              <w:spacing w:line="360" w:lineRule="auto"/>
              <w:ind w:left="-38"/>
              <w:jc w:val="center"/>
              <w:rPr>
                <w:rFonts w:cs="仿宋" w:asciiTheme="minorEastAsia" w:hAnsiTheme="minorEastAsia" w:eastAsiaTheme="minorEastAsia"/>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vAlign w:val="center"/>
          </w:tcPr>
          <w:p>
            <w:pPr>
              <w:adjustRightInd w:val="0"/>
              <w:snapToGrid w:val="0"/>
              <w:spacing w:line="360" w:lineRule="auto"/>
              <w:ind w:firstLine="28"/>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7</w:t>
            </w:r>
          </w:p>
        </w:tc>
        <w:tc>
          <w:tcPr>
            <w:tcW w:w="0" w:type="auto"/>
            <w:tcBorders>
              <w:tl2br w:val="nil"/>
              <w:tr2bl w:val="nil"/>
            </w:tcBorders>
            <w:vAlign w:val="center"/>
          </w:tcPr>
          <w:p>
            <w:pPr>
              <w:adjustRightInd w:val="0"/>
              <w:snapToGrid w:val="0"/>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拟为本项目配备的医疗设备</w:t>
            </w:r>
          </w:p>
        </w:tc>
        <w:tc>
          <w:tcPr>
            <w:tcW w:w="0" w:type="auto"/>
            <w:tcBorders>
              <w:tl2br w:val="nil"/>
              <w:tr2bl w:val="nil"/>
            </w:tcBorders>
            <w:vAlign w:val="center"/>
          </w:tcPr>
          <w:p>
            <w:pPr>
              <w:adjustRightInd w:val="0"/>
              <w:snapToGrid w:val="0"/>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16分</w:t>
            </w:r>
          </w:p>
        </w:tc>
        <w:tc>
          <w:tcPr>
            <w:tcW w:w="0" w:type="auto"/>
            <w:tcBorders>
              <w:tl2br w:val="nil"/>
              <w:tr2bl w:val="nil"/>
            </w:tcBorders>
            <w:vAlign w:val="center"/>
          </w:tcPr>
          <w:p>
            <w:pPr>
              <w:adjustRightInd w:val="0"/>
              <w:snapToGrid w:val="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1.供应商</w:t>
            </w:r>
            <w:r>
              <w:rPr>
                <w:rFonts w:hint="eastAsia" w:cs="仿宋" w:asciiTheme="minorEastAsia" w:hAnsiTheme="minorEastAsia" w:eastAsiaTheme="minorEastAsia"/>
                <w:spacing w:val="10"/>
                <w:sz w:val="21"/>
                <w:szCs w:val="21"/>
              </w:rPr>
              <w:t>为本</w:t>
            </w:r>
            <w:r>
              <w:rPr>
                <w:rFonts w:hint="eastAsia" w:cs="仿宋" w:asciiTheme="minorEastAsia" w:hAnsiTheme="minorEastAsia" w:eastAsiaTheme="minorEastAsia"/>
                <w:spacing w:val="12"/>
                <w:sz w:val="21"/>
                <w:szCs w:val="21"/>
              </w:rPr>
              <w:t>项</w:t>
            </w:r>
            <w:r>
              <w:rPr>
                <w:rFonts w:hint="eastAsia" w:cs="仿宋" w:asciiTheme="minorEastAsia" w:hAnsiTheme="minorEastAsia" w:eastAsiaTheme="minorEastAsia"/>
                <w:spacing w:val="10"/>
                <w:sz w:val="21"/>
                <w:szCs w:val="21"/>
              </w:rPr>
              <w:t>目提供</w:t>
            </w:r>
            <w:r>
              <w:rPr>
                <w:rFonts w:hint="eastAsia" w:cs="仿宋" w:asciiTheme="minorEastAsia" w:hAnsiTheme="minorEastAsia" w:eastAsiaTheme="minorEastAsia"/>
                <w:spacing w:val="12"/>
                <w:sz w:val="21"/>
                <w:szCs w:val="21"/>
              </w:rPr>
              <w:t>独</w:t>
            </w:r>
            <w:r>
              <w:rPr>
                <w:rFonts w:hint="eastAsia" w:cs="仿宋" w:asciiTheme="minorEastAsia" w:hAnsiTheme="minorEastAsia" w:eastAsiaTheme="minorEastAsia"/>
                <w:spacing w:val="10"/>
                <w:sz w:val="21"/>
                <w:szCs w:val="21"/>
              </w:rPr>
              <w:t>立配备</w:t>
            </w:r>
            <w:r>
              <w:rPr>
                <w:rFonts w:hint="eastAsia" w:cs="仿宋" w:asciiTheme="minorEastAsia" w:hAnsiTheme="minorEastAsia" w:eastAsiaTheme="minorEastAsia"/>
                <w:spacing w:val="12"/>
                <w:sz w:val="21"/>
                <w:szCs w:val="21"/>
              </w:rPr>
              <w:t>的</w:t>
            </w:r>
            <w:r>
              <w:rPr>
                <w:rFonts w:hint="eastAsia" w:cs="仿宋" w:asciiTheme="minorEastAsia" w:hAnsiTheme="minorEastAsia" w:eastAsiaTheme="minorEastAsia"/>
                <w:spacing w:val="10"/>
                <w:sz w:val="21"/>
                <w:szCs w:val="21"/>
              </w:rPr>
              <w:t>彩超在</w:t>
            </w:r>
            <w:r>
              <w:rPr>
                <w:rFonts w:hint="eastAsia" w:cs="仿宋" w:asciiTheme="minorEastAsia" w:hAnsiTheme="minorEastAsia" w:eastAsiaTheme="minorEastAsia"/>
                <w:spacing w:val="12"/>
                <w:sz w:val="21"/>
                <w:szCs w:val="21"/>
              </w:rPr>
              <w:t>满</w:t>
            </w:r>
            <w:r>
              <w:rPr>
                <w:rFonts w:hint="eastAsia" w:cs="仿宋" w:asciiTheme="minorEastAsia" w:hAnsiTheme="minorEastAsia" w:eastAsiaTheme="minorEastAsia"/>
                <w:spacing w:val="10"/>
                <w:sz w:val="21"/>
                <w:szCs w:val="21"/>
              </w:rPr>
              <w:t>足服务</w:t>
            </w:r>
            <w:r>
              <w:rPr>
                <w:rFonts w:hint="eastAsia" w:cs="仿宋" w:asciiTheme="minorEastAsia" w:hAnsiTheme="minorEastAsia" w:eastAsiaTheme="minorEastAsia"/>
                <w:spacing w:val="12"/>
                <w:sz w:val="21"/>
                <w:szCs w:val="21"/>
              </w:rPr>
              <w:t>要</w:t>
            </w:r>
            <w:r>
              <w:rPr>
                <w:rFonts w:hint="eastAsia" w:cs="仿宋" w:asciiTheme="minorEastAsia" w:hAnsiTheme="minorEastAsia" w:eastAsiaTheme="minorEastAsia"/>
                <w:sz w:val="21"/>
                <w:szCs w:val="21"/>
              </w:rPr>
              <w:t>求的基础上，每增加</w:t>
            </w:r>
            <w:r>
              <w:rPr>
                <w:rFonts w:hint="eastAsia" w:cs="仿宋" w:asciiTheme="minorEastAsia" w:hAnsiTheme="minorEastAsia" w:eastAsiaTheme="minorEastAsia"/>
                <w:w w:val="85"/>
                <w:sz w:val="21"/>
                <w:szCs w:val="21"/>
              </w:rPr>
              <w:t>1</w:t>
            </w:r>
            <w:r>
              <w:rPr>
                <w:rFonts w:hint="eastAsia" w:cs="仿宋" w:asciiTheme="minorEastAsia" w:hAnsiTheme="minorEastAsia" w:eastAsiaTheme="minorEastAsia"/>
                <w:sz w:val="21"/>
                <w:szCs w:val="21"/>
              </w:rPr>
              <w:t>台得</w:t>
            </w:r>
            <w:r>
              <w:rPr>
                <w:rFonts w:hint="eastAsia" w:cs="仿宋" w:asciiTheme="minorEastAsia" w:hAnsiTheme="minorEastAsia" w:eastAsiaTheme="minorEastAsia"/>
                <w:w w:val="85"/>
                <w:sz w:val="21"/>
                <w:szCs w:val="21"/>
              </w:rPr>
              <w:t>2</w:t>
            </w:r>
            <w:r>
              <w:rPr>
                <w:rFonts w:hint="eastAsia" w:cs="仿宋" w:asciiTheme="minorEastAsia" w:hAnsiTheme="minorEastAsia" w:eastAsiaTheme="minorEastAsia"/>
                <w:sz w:val="21"/>
                <w:szCs w:val="21"/>
              </w:rPr>
              <w:t>分，最高得</w:t>
            </w:r>
            <w:r>
              <w:rPr>
                <w:rFonts w:hint="eastAsia" w:cs="仿宋" w:asciiTheme="minorEastAsia" w:hAnsiTheme="minorEastAsia" w:eastAsiaTheme="minorEastAsia"/>
                <w:w w:val="85"/>
                <w:sz w:val="21"/>
                <w:szCs w:val="21"/>
              </w:rPr>
              <w:t>10</w:t>
            </w:r>
            <w:r>
              <w:rPr>
                <w:rFonts w:hint="eastAsia" w:cs="仿宋" w:asciiTheme="minorEastAsia" w:hAnsiTheme="minorEastAsia" w:eastAsiaTheme="minorEastAsia"/>
                <w:sz w:val="21"/>
                <w:szCs w:val="21"/>
              </w:rPr>
              <w:t>分。</w:t>
            </w:r>
          </w:p>
          <w:p>
            <w:pPr>
              <w:pStyle w:val="6"/>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2.供应商</w:t>
            </w:r>
            <w:r>
              <w:rPr>
                <w:rFonts w:hint="eastAsia" w:cs="仿宋" w:asciiTheme="minorEastAsia" w:hAnsiTheme="minorEastAsia" w:eastAsiaTheme="minorEastAsia"/>
                <w:spacing w:val="5"/>
                <w:sz w:val="21"/>
                <w:szCs w:val="21"/>
              </w:rPr>
              <w:t>为本项目提供供应商自己拥有的独立配备</w:t>
            </w:r>
            <w:r>
              <w:rPr>
                <w:rFonts w:hint="eastAsia" w:cs="仿宋" w:asciiTheme="minorEastAsia" w:hAnsiTheme="minorEastAsia" w:eastAsiaTheme="minorEastAsia"/>
                <w:sz w:val="21"/>
                <w:szCs w:val="21"/>
              </w:rPr>
              <w:t>的</w:t>
            </w:r>
            <w:r>
              <w:rPr>
                <w:rFonts w:hint="eastAsia" w:cs="仿宋" w:asciiTheme="minorEastAsia" w:hAnsiTheme="minorEastAsia" w:eastAsiaTheme="minorEastAsia"/>
                <w:w w:val="80"/>
                <w:sz w:val="21"/>
                <w:szCs w:val="21"/>
              </w:rPr>
              <w:t>CT</w:t>
            </w:r>
            <w:r>
              <w:rPr>
                <w:rFonts w:hint="eastAsia" w:cs="仿宋" w:asciiTheme="minorEastAsia" w:hAnsiTheme="minorEastAsia" w:eastAsiaTheme="minorEastAsia"/>
                <w:spacing w:val="5"/>
                <w:sz w:val="21"/>
                <w:szCs w:val="21"/>
              </w:rPr>
              <w:t>在满足服务要求</w:t>
            </w:r>
            <w:r>
              <w:rPr>
                <w:rFonts w:hint="eastAsia" w:cs="仿宋" w:asciiTheme="minorEastAsia" w:hAnsiTheme="minorEastAsia" w:eastAsiaTheme="minorEastAsia"/>
                <w:sz w:val="21"/>
                <w:szCs w:val="21"/>
              </w:rPr>
              <w:t>的基础上，每增加</w:t>
            </w:r>
            <w:r>
              <w:rPr>
                <w:rFonts w:hint="eastAsia" w:cs="仿宋" w:asciiTheme="minorEastAsia" w:hAnsiTheme="minorEastAsia" w:eastAsiaTheme="minorEastAsia"/>
                <w:w w:val="85"/>
                <w:sz w:val="21"/>
                <w:szCs w:val="21"/>
              </w:rPr>
              <w:t>1</w:t>
            </w:r>
            <w:r>
              <w:rPr>
                <w:rFonts w:hint="eastAsia" w:cs="仿宋" w:asciiTheme="minorEastAsia" w:hAnsiTheme="minorEastAsia" w:eastAsiaTheme="minorEastAsia"/>
                <w:sz w:val="21"/>
                <w:szCs w:val="21"/>
              </w:rPr>
              <w:t>台得</w:t>
            </w:r>
            <w:r>
              <w:rPr>
                <w:rFonts w:hint="eastAsia" w:cs="仿宋" w:asciiTheme="minorEastAsia" w:hAnsiTheme="minorEastAsia" w:eastAsiaTheme="minorEastAsia"/>
                <w:w w:val="85"/>
                <w:sz w:val="21"/>
                <w:szCs w:val="21"/>
              </w:rPr>
              <w:t>2</w:t>
            </w:r>
            <w:r>
              <w:rPr>
                <w:rFonts w:hint="eastAsia" w:cs="仿宋" w:asciiTheme="minorEastAsia" w:hAnsiTheme="minorEastAsia" w:eastAsiaTheme="minorEastAsia"/>
                <w:sz w:val="21"/>
                <w:szCs w:val="21"/>
              </w:rPr>
              <w:t>分，最高得</w:t>
            </w:r>
            <w:r>
              <w:rPr>
                <w:rFonts w:hint="eastAsia" w:cs="仿宋" w:asciiTheme="minorEastAsia" w:hAnsiTheme="minorEastAsia" w:eastAsiaTheme="minorEastAsia"/>
                <w:w w:val="85"/>
                <w:sz w:val="21"/>
                <w:szCs w:val="21"/>
              </w:rPr>
              <w:t>4</w:t>
            </w:r>
            <w:r>
              <w:rPr>
                <w:rFonts w:hint="eastAsia" w:cs="仿宋" w:asciiTheme="minorEastAsia" w:hAnsiTheme="minorEastAsia" w:eastAsiaTheme="minorEastAsia"/>
                <w:sz w:val="21"/>
                <w:szCs w:val="21"/>
              </w:rPr>
              <w:t>分。</w:t>
            </w:r>
          </w:p>
          <w:p>
            <w:pPr>
              <w:adjustRightInd w:val="0"/>
              <w:snapToGrid w:val="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注</w:t>
            </w:r>
            <w:r>
              <w:rPr>
                <w:rFonts w:hint="eastAsia" w:cs="仿宋" w:asciiTheme="minorEastAsia" w:hAnsiTheme="minorEastAsia" w:eastAsiaTheme="minorEastAsia"/>
                <w:spacing w:val="-5"/>
                <w:sz w:val="21"/>
                <w:szCs w:val="21"/>
              </w:rPr>
              <w:t>：</w:t>
            </w:r>
            <w:r>
              <w:rPr>
                <w:rFonts w:hint="eastAsia" w:cs="仿宋" w:asciiTheme="minorEastAsia" w:hAnsiTheme="minorEastAsia" w:eastAsiaTheme="minorEastAsia"/>
                <w:sz w:val="21"/>
                <w:szCs w:val="21"/>
              </w:rPr>
              <w:t>需提供以下材料</w:t>
            </w:r>
            <w:r>
              <w:rPr>
                <w:rFonts w:hint="eastAsia" w:cs="仿宋" w:asciiTheme="minorEastAsia" w:hAnsiTheme="minorEastAsia" w:eastAsiaTheme="minorEastAsia"/>
                <w:spacing w:val="-5"/>
                <w:sz w:val="21"/>
                <w:szCs w:val="21"/>
              </w:rPr>
              <w:t>：</w:t>
            </w:r>
            <w:r>
              <w:rPr>
                <w:rFonts w:hint="eastAsia" w:cs="仿宋" w:asciiTheme="minorEastAsia" w:hAnsiTheme="minorEastAsia" w:eastAsiaTheme="minorEastAsia"/>
                <w:sz w:val="21"/>
                <w:szCs w:val="21"/>
              </w:rPr>
              <w:t>①相应设备的照片</w:t>
            </w:r>
            <w:r>
              <w:rPr>
                <w:rFonts w:hint="eastAsia" w:cs="仿宋" w:asciiTheme="minorEastAsia" w:hAnsiTheme="minorEastAsia" w:eastAsiaTheme="minorEastAsia"/>
                <w:spacing w:val="-5"/>
                <w:sz w:val="21"/>
                <w:szCs w:val="21"/>
              </w:rPr>
              <w:t>，</w:t>
            </w:r>
            <w:r>
              <w:rPr>
                <w:rFonts w:hint="eastAsia" w:cs="仿宋" w:asciiTheme="minorEastAsia" w:hAnsiTheme="minorEastAsia" w:eastAsiaTheme="minorEastAsia"/>
                <w:sz w:val="21"/>
                <w:szCs w:val="21"/>
              </w:rPr>
              <w:t>②设备购买发票或购买合同复印件。</w:t>
            </w:r>
          </w:p>
          <w:p>
            <w:r>
              <w:rPr>
                <w:rFonts w:hint="eastAsia" w:cs="仿宋" w:asciiTheme="minorEastAsia" w:hAnsiTheme="minorEastAsia" w:eastAsiaTheme="minorEastAsia"/>
                <w:spacing w:val="5"/>
                <w:sz w:val="21"/>
                <w:szCs w:val="21"/>
              </w:rPr>
              <w:t>3.供应商配备的生化分析仪及化学发光仪设备数量为2台得1分，在此基础上，每增加1台加1分，本项最高得2分。提供1台生化分析仪及化学发光仪设备或不提供的不得分。</w:t>
            </w:r>
          </w:p>
        </w:tc>
        <w:tc>
          <w:tcPr>
            <w:tcW w:w="0" w:type="auto"/>
            <w:tcBorders>
              <w:tl2br w:val="nil"/>
              <w:tr2bl w:val="nil"/>
            </w:tcBorders>
            <w:vAlign w:val="center"/>
          </w:tcPr>
          <w:p>
            <w:pPr>
              <w:adjustRightInd w:val="0"/>
              <w:snapToGrid w:val="0"/>
              <w:spacing w:line="360" w:lineRule="auto"/>
              <w:ind w:left="-38"/>
              <w:jc w:val="center"/>
              <w:rPr>
                <w:rFonts w:cs="仿宋" w:asciiTheme="minorEastAsia" w:hAnsiTheme="minorEastAsia" w:eastAsiaTheme="minorEastAsia"/>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vAlign w:val="center"/>
          </w:tcPr>
          <w:p>
            <w:pPr>
              <w:adjustRightInd w:val="0"/>
              <w:snapToGrid w:val="0"/>
              <w:spacing w:line="360" w:lineRule="auto"/>
              <w:ind w:firstLine="28"/>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8</w:t>
            </w:r>
          </w:p>
        </w:tc>
        <w:tc>
          <w:tcPr>
            <w:tcW w:w="0" w:type="auto"/>
            <w:tcBorders>
              <w:tl2br w:val="nil"/>
              <w:tr2bl w:val="nil"/>
            </w:tcBorders>
            <w:vAlign w:val="center"/>
          </w:tcPr>
          <w:p>
            <w:pPr>
              <w:snapToGrid w:val="0"/>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履约能力</w:t>
            </w:r>
          </w:p>
        </w:tc>
        <w:tc>
          <w:tcPr>
            <w:tcW w:w="0" w:type="auto"/>
            <w:tcBorders>
              <w:tl2br w:val="nil"/>
              <w:tr2bl w:val="nil"/>
            </w:tcBorders>
            <w:vAlign w:val="center"/>
          </w:tcPr>
          <w:p>
            <w:pPr>
              <w:snapToGrid w:val="0"/>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6分</w:t>
            </w:r>
          </w:p>
        </w:tc>
        <w:tc>
          <w:tcPr>
            <w:tcW w:w="0" w:type="auto"/>
            <w:tcBorders>
              <w:tl2br w:val="nil"/>
              <w:tr2bl w:val="nil"/>
            </w:tcBorders>
          </w:tcPr>
          <w:p>
            <w:pPr>
              <w:pStyle w:val="6"/>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供应商每提供一个2019年至今类似本项目（100人以上单位）履约经验的得2分，本项最多得6分。（注：提供合同复印件或中标（成交）通知书复印件加盖公（鲜）章，未按要求提供的不得分）</w:t>
            </w:r>
          </w:p>
          <w:p>
            <w:pPr>
              <w:pStyle w:val="2"/>
            </w:pPr>
            <w:r>
              <w:rPr>
                <w:rFonts w:hint="eastAsia" w:cs="仿宋" w:asciiTheme="minorEastAsia" w:hAnsiTheme="minorEastAsia" w:eastAsiaTheme="minorEastAsia"/>
                <w:szCs w:val="21"/>
              </w:rPr>
              <w:t>注：业绩证明材料以合同或中标（成交）通知书为准。</w:t>
            </w:r>
          </w:p>
        </w:tc>
        <w:tc>
          <w:tcPr>
            <w:tcW w:w="0" w:type="auto"/>
            <w:tcBorders>
              <w:tl2br w:val="nil"/>
              <w:tr2bl w:val="nil"/>
            </w:tcBorders>
            <w:vAlign w:val="center"/>
          </w:tcPr>
          <w:p>
            <w:pPr>
              <w:adjustRightInd w:val="0"/>
              <w:snapToGrid w:val="0"/>
              <w:spacing w:line="360" w:lineRule="auto"/>
              <w:ind w:left="-38"/>
              <w:jc w:val="center"/>
              <w:rPr>
                <w:rFonts w:cs="仿宋" w:asciiTheme="minorEastAsia" w:hAnsiTheme="minorEastAsia" w:eastAsiaTheme="minorEastAsia"/>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0" w:type="auto"/>
            <w:tcBorders>
              <w:tl2br w:val="nil"/>
              <w:tr2bl w:val="nil"/>
            </w:tcBorders>
            <w:vAlign w:val="center"/>
          </w:tcPr>
          <w:p>
            <w:pPr>
              <w:adjustRightInd w:val="0"/>
              <w:snapToGrid w:val="0"/>
              <w:spacing w:line="360" w:lineRule="auto"/>
              <w:ind w:firstLine="28"/>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9</w:t>
            </w:r>
          </w:p>
        </w:tc>
        <w:tc>
          <w:tcPr>
            <w:tcW w:w="0" w:type="auto"/>
            <w:tcBorders>
              <w:tl2br w:val="nil"/>
              <w:tr2bl w:val="nil"/>
            </w:tcBorders>
            <w:vAlign w:val="center"/>
          </w:tcPr>
          <w:p>
            <w:pPr>
              <w:adjustRightInd w:val="0"/>
              <w:snapToGrid w:val="0"/>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响应文件的规范性</w:t>
            </w:r>
          </w:p>
        </w:tc>
        <w:tc>
          <w:tcPr>
            <w:tcW w:w="0" w:type="auto"/>
            <w:tcBorders>
              <w:tl2br w:val="nil"/>
              <w:tr2bl w:val="nil"/>
            </w:tcBorders>
            <w:vAlign w:val="center"/>
          </w:tcPr>
          <w:p>
            <w:pPr>
              <w:adjustRightInd w:val="0"/>
              <w:snapToGrid w:val="0"/>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2分</w:t>
            </w:r>
          </w:p>
        </w:tc>
        <w:tc>
          <w:tcPr>
            <w:tcW w:w="0" w:type="auto"/>
            <w:tcBorders>
              <w:tl2br w:val="nil"/>
              <w:tr2bl w:val="nil"/>
            </w:tcBorders>
            <w:vAlign w:val="center"/>
          </w:tcPr>
          <w:p>
            <w:pPr>
              <w:adjustRightInd w:val="0"/>
              <w:snapToGrid w:val="0"/>
              <w:spacing w:line="360" w:lineRule="auto"/>
              <w:ind w:firstLine="28"/>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响应文件制作规范，没有细微偏差情形的得2分；有一项细微偏差扣0.5分，直至该项分值扣完为止。</w:t>
            </w:r>
          </w:p>
        </w:tc>
        <w:tc>
          <w:tcPr>
            <w:tcW w:w="0" w:type="auto"/>
            <w:tcBorders>
              <w:tl2br w:val="nil"/>
              <w:tr2bl w:val="nil"/>
            </w:tcBorders>
            <w:vAlign w:val="center"/>
          </w:tcPr>
          <w:p>
            <w:pPr>
              <w:adjustRightInd w:val="0"/>
              <w:snapToGrid w:val="0"/>
              <w:spacing w:line="360" w:lineRule="auto"/>
              <w:ind w:left="-38"/>
              <w:jc w:val="center"/>
              <w:rPr>
                <w:rFonts w:cs="仿宋" w:asciiTheme="minorEastAsia" w:hAnsiTheme="minorEastAsia" w:eastAsiaTheme="minorEastAsia"/>
                <w:kern w:val="2"/>
                <w:sz w:val="21"/>
                <w:szCs w:val="21"/>
              </w:rPr>
            </w:pPr>
          </w:p>
        </w:tc>
      </w:tr>
    </w:tbl>
    <w:p>
      <w:pPr>
        <w:adjustRightInd w:val="0"/>
        <w:snapToGrid w:val="0"/>
        <w:spacing w:line="360" w:lineRule="auto"/>
        <w:jc w:val="left"/>
        <w:rPr>
          <w:rFonts w:hint="eastAsia" w:hAnsi="宋体" w:cs="宋体"/>
          <w:bCs/>
          <w:spacing w:val="8"/>
          <w:sz w:val="24"/>
          <w:szCs w:val="24"/>
        </w:rPr>
      </w:pPr>
    </w:p>
    <w:p>
      <w:pPr>
        <w:adjustRightInd w:val="0"/>
        <w:snapToGrid w:val="0"/>
        <w:spacing w:line="360" w:lineRule="auto"/>
        <w:jc w:val="left"/>
        <w:rPr>
          <w:rFonts w:hint="eastAsia"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三</w:t>
      </w:r>
      <w:r>
        <w:rPr>
          <w:rFonts w:hAnsi="宋体" w:cs="宋体"/>
          <w:bCs/>
          <w:spacing w:val="8"/>
          <w:sz w:val="24"/>
          <w:szCs w:val="24"/>
        </w:rPr>
        <w:t xml:space="preserve">、 投标文件的澄清 </w:t>
      </w:r>
    </w:p>
    <w:p>
      <w:r>
        <w:rPr>
          <w:rFonts w:hAnsi="宋体" w:cs="宋体"/>
          <w:bCs/>
          <w:spacing w:val="8"/>
          <w:sz w:val="24"/>
          <w:szCs w:val="24"/>
        </w:rPr>
        <w:t xml:space="preserve">    为了便于评标小组更加全面有效的对所有投标人的投标文件进行审查、评估和比较，评标小组在评标的过程中随时有权向投标人质疑，请投标人澄清其投标内容。投标人有效书面澄清文件将被理解为其投标文件的一部分，但任何澄清均不得改变投标人的实质内容，否则在评标中不予考虑。</w:t>
      </w:r>
    </w:p>
    <w:p>
      <w:pPr>
        <w:rPr>
          <w:rFonts w:hAnsi="宋体" w:cs="宋体"/>
          <w:sz w:val="30"/>
          <w:szCs w:val="30"/>
        </w:rPr>
      </w:pPr>
    </w:p>
    <w:p/>
    <w:p>
      <w:pPr>
        <w:pStyle w:val="3"/>
        <w:snapToGrid w:val="0"/>
        <w:spacing w:before="0" w:after="0" w:line="240" w:lineRule="auto"/>
        <w:jc w:val="center"/>
        <w:rPr>
          <w:rFonts w:hint="default" w:hAnsi="宋体" w:eastAsia="宋体"/>
          <w:sz w:val="32"/>
          <w:szCs w:val="32"/>
          <w:lang w:val="en-US" w:eastAsia="zh-CN"/>
        </w:rPr>
      </w:pPr>
      <w:r>
        <w:rPr>
          <w:rFonts w:hint="eastAsia" w:hAnsi="宋体"/>
          <w:sz w:val="32"/>
          <w:szCs w:val="32"/>
          <w:lang w:val="en-US" w:eastAsia="zh-CN"/>
        </w:rPr>
        <w:t xml:space="preserve">  </w:t>
      </w: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bookmarkEnd w:id="39"/>
    <w:bookmarkEnd w:id="40"/>
    <w:p>
      <w:pPr>
        <w:rPr>
          <w:rFonts w:hint="eastAsia" w:hAnsi="宋体" w:cs="宋体"/>
          <w:sz w:val="30"/>
          <w:szCs w:val="30"/>
          <w:lang w:val="en-US" w:eastAsia="zh-CN"/>
        </w:rPr>
      </w:pPr>
      <w:r>
        <w:rPr>
          <w:rFonts w:hint="eastAsia" w:hAnsi="宋体" w:cs="宋体"/>
          <w:sz w:val="30"/>
          <w:szCs w:val="30"/>
          <w:lang w:val="en-US" w:eastAsia="zh-CN"/>
        </w:rPr>
        <w:br w:type="page"/>
      </w:r>
    </w:p>
    <w:p>
      <w:pPr>
        <w:pStyle w:val="3"/>
        <w:numPr>
          <w:ilvl w:val="0"/>
          <w:numId w:val="0"/>
        </w:numPr>
        <w:snapToGrid w:val="0"/>
        <w:spacing w:before="0" w:after="0" w:line="360" w:lineRule="auto"/>
        <w:ind w:firstLine="2711" w:firstLineChars="900"/>
        <w:jc w:val="both"/>
        <w:rPr>
          <w:rFonts w:hint="eastAsia" w:hAnsi="宋体" w:cs="宋体"/>
          <w:sz w:val="30"/>
          <w:szCs w:val="30"/>
          <w:lang w:val="en-US" w:eastAsia="zh-CN"/>
        </w:rPr>
      </w:pPr>
    </w:p>
    <w:p>
      <w:pPr>
        <w:pStyle w:val="3"/>
        <w:numPr>
          <w:ilvl w:val="0"/>
          <w:numId w:val="0"/>
        </w:numPr>
        <w:snapToGrid w:val="0"/>
        <w:spacing w:before="0" w:after="0" w:line="360" w:lineRule="auto"/>
        <w:ind w:firstLine="2711" w:firstLineChars="900"/>
        <w:jc w:val="both"/>
        <w:rPr>
          <w:rFonts w:hint="eastAsia" w:hAnsi="宋体" w:cs="宋体"/>
          <w:sz w:val="30"/>
          <w:szCs w:val="30"/>
        </w:rPr>
      </w:pPr>
      <w:r>
        <w:rPr>
          <w:rFonts w:hint="eastAsia" w:hAnsi="宋体" w:cs="宋体"/>
          <w:sz w:val="30"/>
          <w:szCs w:val="30"/>
          <w:lang w:val="en-US" w:eastAsia="zh-CN"/>
        </w:rPr>
        <w:t>第六章</w:t>
      </w:r>
      <w:r>
        <w:rPr>
          <w:rFonts w:hint="eastAsia" w:hAnsi="宋体" w:cs="宋体"/>
          <w:sz w:val="30"/>
          <w:szCs w:val="30"/>
        </w:rPr>
        <w:t xml:space="preserve"> 合同主要条款</w:t>
      </w:r>
    </w:p>
    <w:p>
      <w:pPr>
        <w:numPr>
          <w:ilvl w:val="0"/>
          <w:numId w:val="0"/>
        </w:numPr>
        <w:ind w:leftChars="0"/>
        <w:jc w:val="center"/>
        <w:rPr>
          <w:rFonts w:hint="eastAsia" w:eastAsia="宋体"/>
          <w:lang w:eastAsia="zh-CN"/>
        </w:rPr>
      </w:pPr>
      <w:r>
        <w:rPr>
          <w:rFonts w:hint="eastAsia" w:ascii="Times New Roman" w:hAnsi="宋体" w:eastAsia="宋体" w:cs="宋体"/>
          <w:b/>
          <w:bCs/>
          <w:sz w:val="24"/>
          <w:szCs w:val="24"/>
          <w:lang w:val="en-US" w:eastAsia="zh-CN" w:bidi="ar-SA"/>
        </w:rPr>
        <w:t>（</w:t>
      </w:r>
      <w:r>
        <w:rPr>
          <w:rFonts w:hint="eastAsia" w:ascii="Times New Roman" w:hAnsi="宋体" w:cs="宋体"/>
          <w:b/>
          <w:bCs/>
          <w:sz w:val="24"/>
          <w:szCs w:val="24"/>
          <w:lang w:val="en-US" w:eastAsia="zh-CN" w:bidi="ar-SA"/>
        </w:rPr>
        <w:t>双方协商签订</w:t>
      </w:r>
      <w:r>
        <w:rPr>
          <w:rFonts w:hint="eastAsia" w:ascii="Times New Roman" w:hAnsi="宋体" w:eastAsia="宋体" w:cs="宋体"/>
          <w:sz w:val="24"/>
          <w:szCs w:val="24"/>
          <w:lang w:val="en-US" w:eastAsia="zh-CN" w:bidi="ar-SA"/>
        </w:rPr>
        <w:t>）</w:t>
      </w:r>
    </w:p>
    <w:p>
      <w:pPr>
        <w:snapToGrid w:val="0"/>
        <w:spacing w:line="360" w:lineRule="auto"/>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left"/>
      <w:rPr>
        <w:rFonts w:hAnsi="宋体"/>
      </w:rPr>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F9244865"/>
    <w:multiLevelType w:val="singleLevel"/>
    <w:tmpl w:val="F9244865"/>
    <w:lvl w:ilvl="0" w:tentative="0">
      <w:start w:val="5"/>
      <w:numFmt w:val="chineseCounting"/>
      <w:suff w:val="space"/>
      <w:lvlText w:val="第%1章"/>
      <w:lvlJc w:val="left"/>
      <w:rPr>
        <w:rFonts w:hint="eastAsia"/>
      </w:rPr>
    </w:lvl>
  </w:abstractNum>
  <w:abstractNum w:abstractNumId="2">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4">
    <w:nsid w:val="00000003"/>
    <w:multiLevelType w:val="singleLevel"/>
    <w:tmpl w:val="00000003"/>
    <w:lvl w:ilvl="0" w:tentative="0">
      <w:start w:val="1"/>
      <w:numFmt w:val="decimal"/>
      <w:suff w:val="nothing"/>
      <w:lvlText w:val="%1、"/>
      <w:lvlJc w:val="left"/>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MDdiNTczMDY5YzkyODlhZjc3MmVlMzFhZTAyZTgifQ=="/>
  </w:docVars>
  <w:rsids>
    <w:rsidRoot w:val="00172A27"/>
    <w:rsid w:val="0000130C"/>
    <w:rsid w:val="0001189E"/>
    <w:rsid w:val="00013F1F"/>
    <w:rsid w:val="00020591"/>
    <w:rsid w:val="00022579"/>
    <w:rsid w:val="000227F3"/>
    <w:rsid w:val="000300FA"/>
    <w:rsid w:val="00034E6A"/>
    <w:rsid w:val="00037883"/>
    <w:rsid w:val="000414D3"/>
    <w:rsid w:val="00062B97"/>
    <w:rsid w:val="00074602"/>
    <w:rsid w:val="00083A44"/>
    <w:rsid w:val="000921E3"/>
    <w:rsid w:val="000955D2"/>
    <w:rsid w:val="000A1BAE"/>
    <w:rsid w:val="000B2D46"/>
    <w:rsid w:val="000C3891"/>
    <w:rsid w:val="000D3C29"/>
    <w:rsid w:val="000E3A51"/>
    <w:rsid w:val="000F0B31"/>
    <w:rsid w:val="00104D52"/>
    <w:rsid w:val="00115F7B"/>
    <w:rsid w:val="0011612A"/>
    <w:rsid w:val="001269FA"/>
    <w:rsid w:val="00142405"/>
    <w:rsid w:val="001433DB"/>
    <w:rsid w:val="0014556F"/>
    <w:rsid w:val="00157635"/>
    <w:rsid w:val="00172A27"/>
    <w:rsid w:val="00181E14"/>
    <w:rsid w:val="00185388"/>
    <w:rsid w:val="001943F1"/>
    <w:rsid w:val="001A1EDF"/>
    <w:rsid w:val="001A3304"/>
    <w:rsid w:val="001C4C5D"/>
    <w:rsid w:val="001E077D"/>
    <w:rsid w:val="0021094F"/>
    <w:rsid w:val="002114B9"/>
    <w:rsid w:val="0021517F"/>
    <w:rsid w:val="00215D24"/>
    <w:rsid w:val="00231CEA"/>
    <w:rsid w:val="00242F03"/>
    <w:rsid w:val="00252539"/>
    <w:rsid w:val="002619F7"/>
    <w:rsid w:val="002740EE"/>
    <w:rsid w:val="002802D2"/>
    <w:rsid w:val="002932A5"/>
    <w:rsid w:val="002945D4"/>
    <w:rsid w:val="00297578"/>
    <w:rsid w:val="002A6490"/>
    <w:rsid w:val="002F3A9D"/>
    <w:rsid w:val="00302533"/>
    <w:rsid w:val="00303BEC"/>
    <w:rsid w:val="0031337F"/>
    <w:rsid w:val="00314D2B"/>
    <w:rsid w:val="00315BFD"/>
    <w:rsid w:val="00330AB4"/>
    <w:rsid w:val="003426C9"/>
    <w:rsid w:val="0034384C"/>
    <w:rsid w:val="00351B66"/>
    <w:rsid w:val="00374997"/>
    <w:rsid w:val="00376338"/>
    <w:rsid w:val="0038282C"/>
    <w:rsid w:val="003C2094"/>
    <w:rsid w:val="003C49AF"/>
    <w:rsid w:val="003D00DA"/>
    <w:rsid w:val="003D11A5"/>
    <w:rsid w:val="003D4974"/>
    <w:rsid w:val="003D6934"/>
    <w:rsid w:val="003E1BF9"/>
    <w:rsid w:val="0040317E"/>
    <w:rsid w:val="0041087A"/>
    <w:rsid w:val="00412E90"/>
    <w:rsid w:val="00423D03"/>
    <w:rsid w:val="004250DD"/>
    <w:rsid w:val="004368FD"/>
    <w:rsid w:val="00450DBA"/>
    <w:rsid w:val="00451066"/>
    <w:rsid w:val="0046280F"/>
    <w:rsid w:val="00477BEA"/>
    <w:rsid w:val="00484F83"/>
    <w:rsid w:val="004856D2"/>
    <w:rsid w:val="004A0487"/>
    <w:rsid w:val="004A550E"/>
    <w:rsid w:val="004A58BA"/>
    <w:rsid w:val="004B0DBB"/>
    <w:rsid w:val="004B6322"/>
    <w:rsid w:val="004D0C88"/>
    <w:rsid w:val="004E54D8"/>
    <w:rsid w:val="004F0192"/>
    <w:rsid w:val="004F3B9B"/>
    <w:rsid w:val="004F5512"/>
    <w:rsid w:val="004F718A"/>
    <w:rsid w:val="00510855"/>
    <w:rsid w:val="0051463D"/>
    <w:rsid w:val="00523D5E"/>
    <w:rsid w:val="00526EF1"/>
    <w:rsid w:val="00551968"/>
    <w:rsid w:val="005523F9"/>
    <w:rsid w:val="00565D29"/>
    <w:rsid w:val="0057392A"/>
    <w:rsid w:val="0057670A"/>
    <w:rsid w:val="0058164F"/>
    <w:rsid w:val="00581EB4"/>
    <w:rsid w:val="00587168"/>
    <w:rsid w:val="00593373"/>
    <w:rsid w:val="005A011C"/>
    <w:rsid w:val="005A1491"/>
    <w:rsid w:val="005C0690"/>
    <w:rsid w:val="005D660E"/>
    <w:rsid w:val="005D76BC"/>
    <w:rsid w:val="005F3651"/>
    <w:rsid w:val="005F6D20"/>
    <w:rsid w:val="006076D0"/>
    <w:rsid w:val="0064548D"/>
    <w:rsid w:val="0068224E"/>
    <w:rsid w:val="00691FBB"/>
    <w:rsid w:val="006A04FB"/>
    <w:rsid w:val="006B3B23"/>
    <w:rsid w:val="006B634A"/>
    <w:rsid w:val="006B64B2"/>
    <w:rsid w:val="006C59D1"/>
    <w:rsid w:val="006C7451"/>
    <w:rsid w:val="006E3DDB"/>
    <w:rsid w:val="006F06EF"/>
    <w:rsid w:val="006F4716"/>
    <w:rsid w:val="00722B66"/>
    <w:rsid w:val="00731735"/>
    <w:rsid w:val="00735742"/>
    <w:rsid w:val="00737A85"/>
    <w:rsid w:val="00740C17"/>
    <w:rsid w:val="007432C8"/>
    <w:rsid w:val="00764FE2"/>
    <w:rsid w:val="0076501E"/>
    <w:rsid w:val="00767976"/>
    <w:rsid w:val="00771D10"/>
    <w:rsid w:val="00786217"/>
    <w:rsid w:val="007956B7"/>
    <w:rsid w:val="007D1094"/>
    <w:rsid w:val="007D60BE"/>
    <w:rsid w:val="007E3542"/>
    <w:rsid w:val="007F62D2"/>
    <w:rsid w:val="00815FBB"/>
    <w:rsid w:val="00823CD6"/>
    <w:rsid w:val="008351A2"/>
    <w:rsid w:val="008465E2"/>
    <w:rsid w:val="00850AE8"/>
    <w:rsid w:val="0085182D"/>
    <w:rsid w:val="00852219"/>
    <w:rsid w:val="00854B0E"/>
    <w:rsid w:val="00861B35"/>
    <w:rsid w:val="00861D35"/>
    <w:rsid w:val="008705D4"/>
    <w:rsid w:val="008721DC"/>
    <w:rsid w:val="008826E8"/>
    <w:rsid w:val="008A3275"/>
    <w:rsid w:val="008A372A"/>
    <w:rsid w:val="008A775B"/>
    <w:rsid w:val="008B3F4F"/>
    <w:rsid w:val="008B6A28"/>
    <w:rsid w:val="008C4C5D"/>
    <w:rsid w:val="008D4B57"/>
    <w:rsid w:val="008E283A"/>
    <w:rsid w:val="008F1768"/>
    <w:rsid w:val="008F483A"/>
    <w:rsid w:val="008F5D03"/>
    <w:rsid w:val="00900A6F"/>
    <w:rsid w:val="00907738"/>
    <w:rsid w:val="009123FA"/>
    <w:rsid w:val="00916D1E"/>
    <w:rsid w:val="00927129"/>
    <w:rsid w:val="0093288F"/>
    <w:rsid w:val="00935B90"/>
    <w:rsid w:val="00953907"/>
    <w:rsid w:val="009541A1"/>
    <w:rsid w:val="00956AE4"/>
    <w:rsid w:val="00964782"/>
    <w:rsid w:val="00983489"/>
    <w:rsid w:val="0099747D"/>
    <w:rsid w:val="009976EE"/>
    <w:rsid w:val="009A21CB"/>
    <w:rsid w:val="009B7EC9"/>
    <w:rsid w:val="009D1F47"/>
    <w:rsid w:val="009D23DB"/>
    <w:rsid w:val="009D4EE9"/>
    <w:rsid w:val="009F639B"/>
    <w:rsid w:val="00A0208D"/>
    <w:rsid w:val="00A03414"/>
    <w:rsid w:val="00A075C3"/>
    <w:rsid w:val="00A11CF0"/>
    <w:rsid w:val="00A13D90"/>
    <w:rsid w:val="00A2152A"/>
    <w:rsid w:val="00A23C2C"/>
    <w:rsid w:val="00A26126"/>
    <w:rsid w:val="00A27709"/>
    <w:rsid w:val="00A415A9"/>
    <w:rsid w:val="00A57A27"/>
    <w:rsid w:val="00A62532"/>
    <w:rsid w:val="00A7009A"/>
    <w:rsid w:val="00A92172"/>
    <w:rsid w:val="00A9666E"/>
    <w:rsid w:val="00AA1D32"/>
    <w:rsid w:val="00AA4F6C"/>
    <w:rsid w:val="00AE0E42"/>
    <w:rsid w:val="00AE5591"/>
    <w:rsid w:val="00B10AC3"/>
    <w:rsid w:val="00B35C4C"/>
    <w:rsid w:val="00B52A09"/>
    <w:rsid w:val="00B634A6"/>
    <w:rsid w:val="00B92137"/>
    <w:rsid w:val="00BA04EB"/>
    <w:rsid w:val="00BA1E3F"/>
    <w:rsid w:val="00BA7A4D"/>
    <w:rsid w:val="00BD2B90"/>
    <w:rsid w:val="00BE0CDD"/>
    <w:rsid w:val="00BE3EDE"/>
    <w:rsid w:val="00BF5C97"/>
    <w:rsid w:val="00BF6F90"/>
    <w:rsid w:val="00C10464"/>
    <w:rsid w:val="00C11284"/>
    <w:rsid w:val="00C132F6"/>
    <w:rsid w:val="00C15F61"/>
    <w:rsid w:val="00C16CAE"/>
    <w:rsid w:val="00C3181D"/>
    <w:rsid w:val="00C50C93"/>
    <w:rsid w:val="00C52250"/>
    <w:rsid w:val="00C54697"/>
    <w:rsid w:val="00C70180"/>
    <w:rsid w:val="00C821FD"/>
    <w:rsid w:val="00C82454"/>
    <w:rsid w:val="00C82BBB"/>
    <w:rsid w:val="00C8568F"/>
    <w:rsid w:val="00C93064"/>
    <w:rsid w:val="00CA64F2"/>
    <w:rsid w:val="00CB1E2C"/>
    <w:rsid w:val="00CB78BD"/>
    <w:rsid w:val="00CB7B63"/>
    <w:rsid w:val="00CC5987"/>
    <w:rsid w:val="00CC6ED4"/>
    <w:rsid w:val="00CD004D"/>
    <w:rsid w:val="00CD4587"/>
    <w:rsid w:val="00CE5482"/>
    <w:rsid w:val="00D21B10"/>
    <w:rsid w:val="00D40A36"/>
    <w:rsid w:val="00D40F38"/>
    <w:rsid w:val="00D60F7C"/>
    <w:rsid w:val="00D65F48"/>
    <w:rsid w:val="00D72148"/>
    <w:rsid w:val="00D907DF"/>
    <w:rsid w:val="00D9414E"/>
    <w:rsid w:val="00DA21B8"/>
    <w:rsid w:val="00DB3C91"/>
    <w:rsid w:val="00DC0447"/>
    <w:rsid w:val="00DC4377"/>
    <w:rsid w:val="00DC4A4A"/>
    <w:rsid w:val="00DC6D26"/>
    <w:rsid w:val="00DD2646"/>
    <w:rsid w:val="00DD26EF"/>
    <w:rsid w:val="00DE0AD4"/>
    <w:rsid w:val="00DE1B68"/>
    <w:rsid w:val="00DE4625"/>
    <w:rsid w:val="00DE761B"/>
    <w:rsid w:val="00DF6E1E"/>
    <w:rsid w:val="00E27570"/>
    <w:rsid w:val="00E44A52"/>
    <w:rsid w:val="00E56AF3"/>
    <w:rsid w:val="00E66D51"/>
    <w:rsid w:val="00E73B8A"/>
    <w:rsid w:val="00E742A7"/>
    <w:rsid w:val="00E76852"/>
    <w:rsid w:val="00E77F85"/>
    <w:rsid w:val="00E8706F"/>
    <w:rsid w:val="00EA3731"/>
    <w:rsid w:val="00EA6F1B"/>
    <w:rsid w:val="00EC14D2"/>
    <w:rsid w:val="00ED6EA0"/>
    <w:rsid w:val="00EE1B3C"/>
    <w:rsid w:val="00EF4DBE"/>
    <w:rsid w:val="00EF7675"/>
    <w:rsid w:val="00F604E1"/>
    <w:rsid w:val="00F82A64"/>
    <w:rsid w:val="00F86B39"/>
    <w:rsid w:val="00FA0D6E"/>
    <w:rsid w:val="00FC5B97"/>
    <w:rsid w:val="00FC5BDA"/>
    <w:rsid w:val="00FC6A75"/>
    <w:rsid w:val="00FD0A36"/>
    <w:rsid w:val="00FD2F96"/>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8265A2"/>
    <w:rsid w:val="02B15922"/>
    <w:rsid w:val="02BE378E"/>
    <w:rsid w:val="02DA64AD"/>
    <w:rsid w:val="03012F7E"/>
    <w:rsid w:val="03055CCB"/>
    <w:rsid w:val="03056780"/>
    <w:rsid w:val="030B000A"/>
    <w:rsid w:val="032A2ABD"/>
    <w:rsid w:val="032E14C4"/>
    <w:rsid w:val="03425F66"/>
    <w:rsid w:val="035A40AD"/>
    <w:rsid w:val="036A7B56"/>
    <w:rsid w:val="03731FB8"/>
    <w:rsid w:val="039446EB"/>
    <w:rsid w:val="039C537B"/>
    <w:rsid w:val="03A03D81"/>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DE6533"/>
    <w:rsid w:val="07DF17F7"/>
    <w:rsid w:val="07FD0DA7"/>
    <w:rsid w:val="080055AF"/>
    <w:rsid w:val="080C13C2"/>
    <w:rsid w:val="08380F8C"/>
    <w:rsid w:val="084D6DD4"/>
    <w:rsid w:val="084E78AD"/>
    <w:rsid w:val="085914C1"/>
    <w:rsid w:val="086552D4"/>
    <w:rsid w:val="086D0162"/>
    <w:rsid w:val="08747AEC"/>
    <w:rsid w:val="08822685"/>
    <w:rsid w:val="08870D0B"/>
    <w:rsid w:val="08BA49DD"/>
    <w:rsid w:val="08EC7733"/>
    <w:rsid w:val="092B1819"/>
    <w:rsid w:val="092E279E"/>
    <w:rsid w:val="09343398"/>
    <w:rsid w:val="093E2A38"/>
    <w:rsid w:val="0955045F"/>
    <w:rsid w:val="09580C0A"/>
    <w:rsid w:val="096B7D90"/>
    <w:rsid w:val="09F856EA"/>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D16D6"/>
    <w:rsid w:val="0E991F00"/>
    <w:rsid w:val="0E9D0906"/>
    <w:rsid w:val="0EA03F84"/>
    <w:rsid w:val="0EB4052B"/>
    <w:rsid w:val="0EBA5CB8"/>
    <w:rsid w:val="0ECC7523"/>
    <w:rsid w:val="0EF21695"/>
    <w:rsid w:val="0F1113DA"/>
    <w:rsid w:val="0F1550CD"/>
    <w:rsid w:val="0F2E087C"/>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80FCB"/>
    <w:rsid w:val="145B58F4"/>
    <w:rsid w:val="148876BD"/>
    <w:rsid w:val="149A4596"/>
    <w:rsid w:val="14A66C6D"/>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A446A"/>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685A87"/>
    <w:rsid w:val="1B6C0C0A"/>
    <w:rsid w:val="1B6D668B"/>
    <w:rsid w:val="1B835BE0"/>
    <w:rsid w:val="1B933D1E"/>
    <w:rsid w:val="1BDB6CBF"/>
    <w:rsid w:val="1BE453D0"/>
    <w:rsid w:val="1BEE3761"/>
    <w:rsid w:val="1C091D8D"/>
    <w:rsid w:val="1C7723C1"/>
    <w:rsid w:val="1C820752"/>
    <w:rsid w:val="1C993BFA"/>
    <w:rsid w:val="1CC41D1F"/>
    <w:rsid w:val="1CD714E1"/>
    <w:rsid w:val="1CDB5968"/>
    <w:rsid w:val="1CE56DF0"/>
    <w:rsid w:val="1CEA2747"/>
    <w:rsid w:val="1CF0217A"/>
    <w:rsid w:val="1D5133A9"/>
    <w:rsid w:val="1D5D3876"/>
    <w:rsid w:val="1D6F2FE0"/>
    <w:rsid w:val="1D722AE5"/>
    <w:rsid w:val="1D7B3732"/>
    <w:rsid w:val="1DBA1246"/>
    <w:rsid w:val="1E3D1A9F"/>
    <w:rsid w:val="1E5209CD"/>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445CAC"/>
    <w:rsid w:val="229009C2"/>
    <w:rsid w:val="230C2B7A"/>
    <w:rsid w:val="232C45F5"/>
    <w:rsid w:val="23574571"/>
    <w:rsid w:val="235C138F"/>
    <w:rsid w:val="23A52A88"/>
    <w:rsid w:val="23C478CF"/>
    <w:rsid w:val="23D93E78"/>
    <w:rsid w:val="23DB76DF"/>
    <w:rsid w:val="2431266C"/>
    <w:rsid w:val="245965D5"/>
    <w:rsid w:val="247B506A"/>
    <w:rsid w:val="24AE0D3C"/>
    <w:rsid w:val="251251DD"/>
    <w:rsid w:val="25267701"/>
    <w:rsid w:val="25392E9F"/>
    <w:rsid w:val="253B7A11"/>
    <w:rsid w:val="254060AD"/>
    <w:rsid w:val="25556F4C"/>
    <w:rsid w:val="25A14E4D"/>
    <w:rsid w:val="25BC3478"/>
    <w:rsid w:val="26066D6F"/>
    <w:rsid w:val="261C0F13"/>
    <w:rsid w:val="261E69A8"/>
    <w:rsid w:val="261E7C99"/>
    <w:rsid w:val="263465BA"/>
    <w:rsid w:val="26365340"/>
    <w:rsid w:val="264659B5"/>
    <w:rsid w:val="26770328"/>
    <w:rsid w:val="268044BB"/>
    <w:rsid w:val="26842EC1"/>
    <w:rsid w:val="269363C3"/>
    <w:rsid w:val="26942A18"/>
    <w:rsid w:val="26B149A9"/>
    <w:rsid w:val="26D12FC0"/>
    <w:rsid w:val="26E25459"/>
    <w:rsid w:val="26E32ED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63CAF"/>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316055"/>
    <w:rsid w:val="2E521E0D"/>
    <w:rsid w:val="2E5C265F"/>
    <w:rsid w:val="2E5D6548"/>
    <w:rsid w:val="2E870FE2"/>
    <w:rsid w:val="2EF67098"/>
    <w:rsid w:val="2F043E2F"/>
    <w:rsid w:val="2F31727D"/>
    <w:rsid w:val="2F5B483E"/>
    <w:rsid w:val="2FDE4E17"/>
    <w:rsid w:val="300A115E"/>
    <w:rsid w:val="301F08EA"/>
    <w:rsid w:val="303D7F63"/>
    <w:rsid w:val="30566D3E"/>
    <w:rsid w:val="306B5D4B"/>
    <w:rsid w:val="30711E07"/>
    <w:rsid w:val="30792A97"/>
    <w:rsid w:val="30817EA3"/>
    <w:rsid w:val="308952B0"/>
    <w:rsid w:val="308D3CB6"/>
    <w:rsid w:val="30A30058"/>
    <w:rsid w:val="30AC7C7A"/>
    <w:rsid w:val="30E80B4C"/>
    <w:rsid w:val="312B28BA"/>
    <w:rsid w:val="312F34BF"/>
    <w:rsid w:val="313C4D53"/>
    <w:rsid w:val="314C0871"/>
    <w:rsid w:val="31575E16"/>
    <w:rsid w:val="317503B0"/>
    <w:rsid w:val="319A2078"/>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42966A0"/>
    <w:rsid w:val="342B1BA3"/>
    <w:rsid w:val="34475748"/>
    <w:rsid w:val="346A4F0B"/>
    <w:rsid w:val="346E7194"/>
    <w:rsid w:val="348801E5"/>
    <w:rsid w:val="349C184B"/>
    <w:rsid w:val="34A15065"/>
    <w:rsid w:val="34B465B6"/>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6D1723"/>
    <w:rsid w:val="37712C84"/>
    <w:rsid w:val="379263CB"/>
    <w:rsid w:val="3793032E"/>
    <w:rsid w:val="37982063"/>
    <w:rsid w:val="37A36CD7"/>
    <w:rsid w:val="37B0262F"/>
    <w:rsid w:val="37BE7480"/>
    <w:rsid w:val="37EA4BED"/>
    <w:rsid w:val="37F00FD4"/>
    <w:rsid w:val="38196915"/>
    <w:rsid w:val="381F62A0"/>
    <w:rsid w:val="38225026"/>
    <w:rsid w:val="38265B21"/>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1219DE"/>
    <w:rsid w:val="3A201269"/>
    <w:rsid w:val="3A22476C"/>
    <w:rsid w:val="3A5D0BDB"/>
    <w:rsid w:val="3A5F086E"/>
    <w:rsid w:val="3A883217"/>
    <w:rsid w:val="3A941228"/>
    <w:rsid w:val="3AC6527A"/>
    <w:rsid w:val="3B063AE5"/>
    <w:rsid w:val="3B0A1D81"/>
    <w:rsid w:val="3B251A37"/>
    <w:rsid w:val="3B806D64"/>
    <w:rsid w:val="3BB1414D"/>
    <w:rsid w:val="3BBF5492"/>
    <w:rsid w:val="3BED2ADE"/>
    <w:rsid w:val="3C045F86"/>
    <w:rsid w:val="3C0A7E90"/>
    <w:rsid w:val="3C145EE2"/>
    <w:rsid w:val="3C2A4B41"/>
    <w:rsid w:val="3C317D4F"/>
    <w:rsid w:val="3C3E7065"/>
    <w:rsid w:val="3C62051E"/>
    <w:rsid w:val="3C9660A1"/>
    <w:rsid w:val="3CD54FDA"/>
    <w:rsid w:val="3CEE0102"/>
    <w:rsid w:val="3CFD619E"/>
    <w:rsid w:val="3D246E8B"/>
    <w:rsid w:val="3D313175"/>
    <w:rsid w:val="3D72615D"/>
    <w:rsid w:val="3D822D1E"/>
    <w:rsid w:val="3D8E5880"/>
    <w:rsid w:val="3DA87AD2"/>
    <w:rsid w:val="3DA962B7"/>
    <w:rsid w:val="3DDF0D0F"/>
    <w:rsid w:val="3DEE3528"/>
    <w:rsid w:val="3DF379B0"/>
    <w:rsid w:val="3DF52EB3"/>
    <w:rsid w:val="3DFD5D41"/>
    <w:rsid w:val="3E040F4F"/>
    <w:rsid w:val="3E667CEF"/>
    <w:rsid w:val="3E706080"/>
    <w:rsid w:val="3E900B33"/>
    <w:rsid w:val="3E9C23C7"/>
    <w:rsid w:val="3EAF5B65"/>
    <w:rsid w:val="3EEE694E"/>
    <w:rsid w:val="3F1012AA"/>
    <w:rsid w:val="3F1E169C"/>
    <w:rsid w:val="3F5301DE"/>
    <w:rsid w:val="3F5C2D71"/>
    <w:rsid w:val="3F7755AE"/>
    <w:rsid w:val="3F954B5E"/>
    <w:rsid w:val="3FBD249F"/>
    <w:rsid w:val="3FF461FC"/>
    <w:rsid w:val="3FF82684"/>
    <w:rsid w:val="40464981"/>
    <w:rsid w:val="40562A1D"/>
    <w:rsid w:val="405F34A4"/>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AA21AF"/>
    <w:rsid w:val="4BAB7C31"/>
    <w:rsid w:val="4BAD1567"/>
    <w:rsid w:val="4C250016"/>
    <w:rsid w:val="4C5C7A55"/>
    <w:rsid w:val="4C8E3AA7"/>
    <w:rsid w:val="4CB14F60"/>
    <w:rsid w:val="4CB95DDF"/>
    <w:rsid w:val="4CBC6B75"/>
    <w:rsid w:val="4CBD45F6"/>
    <w:rsid w:val="4CCD4891"/>
    <w:rsid w:val="4CFA2DD6"/>
    <w:rsid w:val="4D0C4A13"/>
    <w:rsid w:val="4D2B5402"/>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651CDA"/>
    <w:rsid w:val="508807F5"/>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2E5683"/>
    <w:rsid w:val="53406363"/>
    <w:rsid w:val="53614D5A"/>
    <w:rsid w:val="53DF5628"/>
    <w:rsid w:val="53F6304F"/>
    <w:rsid w:val="54103BF9"/>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0F768F"/>
    <w:rsid w:val="57152BEC"/>
    <w:rsid w:val="571E12FD"/>
    <w:rsid w:val="57271C0D"/>
    <w:rsid w:val="5735569F"/>
    <w:rsid w:val="573B502A"/>
    <w:rsid w:val="57472BEF"/>
    <w:rsid w:val="574A003F"/>
    <w:rsid w:val="574C0B47"/>
    <w:rsid w:val="57753F0A"/>
    <w:rsid w:val="577E261B"/>
    <w:rsid w:val="577E790E"/>
    <w:rsid w:val="57975744"/>
    <w:rsid w:val="579A66C8"/>
    <w:rsid w:val="57A046BB"/>
    <w:rsid w:val="57BB34E2"/>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C03A5C"/>
    <w:rsid w:val="5CD37BDA"/>
    <w:rsid w:val="5CD4565B"/>
    <w:rsid w:val="5CEA77FF"/>
    <w:rsid w:val="5D1E0F52"/>
    <w:rsid w:val="5D273DE0"/>
    <w:rsid w:val="5D2B27E7"/>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6D6AED"/>
    <w:rsid w:val="64A4332E"/>
    <w:rsid w:val="64A864B1"/>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84FB0"/>
    <w:rsid w:val="67673E36"/>
    <w:rsid w:val="6767412F"/>
    <w:rsid w:val="67A7359A"/>
    <w:rsid w:val="67C32ECB"/>
    <w:rsid w:val="67C718D1"/>
    <w:rsid w:val="67E36C7A"/>
    <w:rsid w:val="680726BA"/>
    <w:rsid w:val="68213264"/>
    <w:rsid w:val="682A438F"/>
    <w:rsid w:val="68344483"/>
    <w:rsid w:val="68503DB3"/>
    <w:rsid w:val="68624F20"/>
    <w:rsid w:val="6870183D"/>
    <w:rsid w:val="68A2033A"/>
    <w:rsid w:val="68C504EF"/>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2A1ADB"/>
    <w:rsid w:val="726254B8"/>
    <w:rsid w:val="727D1720"/>
    <w:rsid w:val="72BA00C5"/>
    <w:rsid w:val="72BB4E08"/>
    <w:rsid w:val="72BE485C"/>
    <w:rsid w:val="72FF663B"/>
    <w:rsid w:val="730541A5"/>
    <w:rsid w:val="73231CF3"/>
    <w:rsid w:val="736D6C6F"/>
    <w:rsid w:val="738E13A2"/>
    <w:rsid w:val="73A722CC"/>
    <w:rsid w:val="73CC6C88"/>
    <w:rsid w:val="7427609D"/>
    <w:rsid w:val="74563369"/>
    <w:rsid w:val="74680181"/>
    <w:rsid w:val="7499095B"/>
    <w:rsid w:val="74B31BEE"/>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393716"/>
    <w:rsid w:val="7843265A"/>
    <w:rsid w:val="78913A5E"/>
    <w:rsid w:val="78B464D2"/>
    <w:rsid w:val="78EE303B"/>
    <w:rsid w:val="78F341AE"/>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DD4DDA"/>
    <w:rsid w:val="7BEC215B"/>
    <w:rsid w:val="7C476FF2"/>
    <w:rsid w:val="7C5C5C93"/>
    <w:rsid w:val="7C9D7D81"/>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5">
    <w:name w:val="heading 3"/>
    <w:basedOn w:val="1"/>
    <w:next w:val="1"/>
    <w:qFormat/>
    <w:uiPriority w:val="0"/>
    <w:pPr>
      <w:keepNext/>
      <w:keepLines/>
      <w:spacing w:before="260" w:after="260" w:line="415" w:lineRule="auto"/>
      <w:outlineLvl w:val="2"/>
    </w:pPr>
    <w:rPr>
      <w:b/>
      <w:sz w:val="32"/>
      <w:szCs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Normal Indent"/>
    <w:basedOn w:val="1"/>
    <w:next w:val="1"/>
    <w:link w:val="32"/>
    <w:qFormat/>
    <w:uiPriority w:val="0"/>
    <w:pPr>
      <w:ind w:firstLine="420" w:firstLineChars="200"/>
    </w:pPr>
    <w:rPr>
      <w:rFonts w:ascii="Times New Roman"/>
      <w:kern w:val="2"/>
      <w:sz w:val="21"/>
      <w:szCs w:val="24"/>
    </w:rPr>
  </w:style>
  <w:style w:type="paragraph" w:styleId="6">
    <w:name w:val="annotation text"/>
    <w:basedOn w:val="1"/>
    <w:qFormat/>
    <w:uiPriority w:val="0"/>
    <w:pPr>
      <w:jc w:val="left"/>
    </w:pPr>
    <w:rPr>
      <w:rFonts w:ascii="Times New Roman"/>
    </w:rPr>
  </w:style>
  <w:style w:type="paragraph" w:styleId="7">
    <w:name w:val="Body Text"/>
    <w:basedOn w:val="1"/>
    <w:qFormat/>
    <w:uiPriority w:val="0"/>
    <w:pPr>
      <w:spacing w:after="120"/>
    </w:pPr>
    <w:rPr>
      <w:rFonts w:ascii="Times New Roman"/>
    </w:rPr>
  </w:style>
  <w:style w:type="paragraph" w:styleId="8">
    <w:name w:val="Body Text Indent"/>
    <w:basedOn w:val="1"/>
    <w:link w:val="40"/>
    <w:qFormat/>
    <w:uiPriority w:val="0"/>
    <w:pPr>
      <w:ind w:firstLine="630"/>
    </w:pPr>
    <w:rPr>
      <w:rFonts w:ascii="Times New Roman"/>
      <w:kern w:val="2"/>
      <w:sz w:val="32"/>
    </w:rPr>
  </w:style>
  <w:style w:type="paragraph" w:styleId="9">
    <w:name w:val="Plain Text"/>
    <w:basedOn w:val="1"/>
    <w:link w:val="49"/>
    <w:qFormat/>
    <w:uiPriority w:val="0"/>
    <w:rPr>
      <w:rFonts w:hAnsi="Courier New"/>
      <w:kern w:val="2"/>
      <w:sz w:val="21"/>
    </w:rPr>
  </w:style>
  <w:style w:type="paragraph" w:styleId="10">
    <w:name w:val="Body Text Indent 2"/>
    <w:basedOn w:val="1"/>
    <w:qFormat/>
    <w:uiPriority w:val="0"/>
    <w:pPr>
      <w:ind w:firstLine="630"/>
    </w:pPr>
    <w:rPr>
      <w:sz w:val="32"/>
      <w:szCs w:val="32"/>
    </w:rPr>
  </w:style>
  <w:style w:type="paragraph" w:styleId="11">
    <w:name w:val="Balloon Text"/>
    <w:basedOn w:val="1"/>
    <w:qFormat/>
    <w:uiPriority w:val="0"/>
    <w:rPr>
      <w:rFonts w:ascii="Times New Roman"/>
      <w:sz w:val="18"/>
      <w:szCs w:val="18"/>
    </w:rPr>
  </w:style>
  <w:style w:type="paragraph" w:styleId="12">
    <w:name w:val="footer"/>
    <w:basedOn w:val="1"/>
    <w:qFormat/>
    <w:uiPriority w:val="0"/>
    <w:pPr>
      <w:tabs>
        <w:tab w:val="center" w:pos="4140"/>
        <w:tab w:val="right" w:pos="8300"/>
      </w:tabs>
      <w:jc w:val="left"/>
    </w:pPr>
    <w:rPr>
      <w:sz w:val="18"/>
      <w:szCs w:val="18"/>
    </w:rPr>
  </w:style>
  <w:style w:type="paragraph" w:styleId="13">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4">
    <w:name w:val="toc 1"/>
    <w:basedOn w:val="1"/>
    <w:next w:val="1"/>
    <w:qFormat/>
    <w:uiPriority w:val="0"/>
  </w:style>
  <w:style w:type="paragraph" w:styleId="15">
    <w:name w:val="Body Text Indent 3"/>
    <w:basedOn w:val="1"/>
    <w:qFormat/>
    <w:uiPriority w:val="0"/>
    <w:pPr>
      <w:spacing w:after="120"/>
      <w:ind w:left="420" w:leftChars="200"/>
    </w:pPr>
    <w:rPr>
      <w:rFonts w:ascii="Times New Roman"/>
      <w:sz w:val="16"/>
      <w:szCs w:val="16"/>
    </w:rPr>
  </w:style>
  <w:style w:type="paragraph" w:styleId="16">
    <w:name w:val="toc 2"/>
    <w:basedOn w:val="1"/>
    <w:next w:val="1"/>
    <w:qFormat/>
    <w:uiPriority w:val="0"/>
    <w:pPr>
      <w:ind w:left="420" w:leftChars="200"/>
    </w:pPr>
    <w:rPr>
      <w:rFonts w:ascii="Times New Roman"/>
    </w:rPr>
  </w:style>
  <w:style w:type="paragraph" w:styleId="17">
    <w:name w:val="Body Text 2"/>
    <w:basedOn w:val="1"/>
    <w:qFormat/>
    <w:uiPriority w:val="0"/>
    <w:pPr>
      <w:spacing w:line="480" w:lineRule="auto"/>
    </w:pPr>
    <w:rPr>
      <w:rFonts w:ascii="Times New Roman"/>
    </w:rPr>
  </w:style>
  <w:style w:type="paragraph" w:styleId="18">
    <w:name w:val="Normal (Web)"/>
    <w:basedOn w:val="1"/>
    <w:qFormat/>
    <w:uiPriority w:val="0"/>
    <w:pPr>
      <w:widowControl/>
      <w:spacing w:before="100" w:beforeAutospacing="1" w:after="100" w:afterAutospacing="1"/>
      <w:jc w:val="left"/>
    </w:pPr>
    <w:rPr>
      <w:rFonts w:hAnsi="宋体"/>
      <w:sz w:val="18"/>
      <w:szCs w:val="1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rFonts w:ascii="Times New Roman" w:hAnsi="Times New Roman" w:eastAsia="宋体" w:cs="Times New Roman"/>
      <w:b/>
      <w:bCs/>
    </w:rPr>
  </w:style>
  <w:style w:type="character" w:styleId="23">
    <w:name w:val="page number"/>
    <w:qFormat/>
    <w:uiPriority w:val="0"/>
    <w:rPr>
      <w:rFonts w:ascii="Times New Roman" w:hAnsi="Times New Roman" w:eastAsia="宋体" w:cs="Times New Roman"/>
    </w:rPr>
  </w:style>
  <w:style w:type="character" w:styleId="24">
    <w:name w:val="FollowedHyperlink"/>
    <w:qFormat/>
    <w:uiPriority w:val="0"/>
    <w:rPr>
      <w:rFonts w:ascii="Arial" w:hAnsi="Arial" w:eastAsia="宋体" w:cs="Arial"/>
      <w:color w:val="007CD2"/>
      <w:sz w:val="24"/>
      <w:szCs w:val="24"/>
      <w:u w:val="none"/>
    </w:rPr>
  </w:style>
  <w:style w:type="character" w:styleId="25">
    <w:name w:val="Hyperlink"/>
    <w:qFormat/>
    <w:uiPriority w:val="0"/>
    <w:rPr>
      <w:rFonts w:ascii="Times New Roman" w:hAnsi="Times New Roman" w:eastAsia="宋体" w:cs="Times New Roman"/>
      <w:color w:val="0000FF"/>
      <w:u w:val="single"/>
    </w:rPr>
  </w:style>
  <w:style w:type="character" w:styleId="26">
    <w:name w:val="annotation reference"/>
    <w:qFormat/>
    <w:uiPriority w:val="0"/>
    <w:rPr>
      <w:rFonts w:cs="Times New Roman"/>
      <w:sz w:val="21"/>
      <w:szCs w:val="21"/>
    </w:rPr>
  </w:style>
  <w:style w:type="paragraph" w:customStyle="1" w:styleId="27">
    <w:name w:val="标题 5（有编号）（绿盟科技）"/>
    <w:basedOn w:val="28"/>
    <w:next w:val="29"/>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8">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29">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0">
    <w:name w:val="font31"/>
    <w:qFormat/>
    <w:uiPriority w:val="0"/>
    <w:rPr>
      <w:rFonts w:hint="eastAsia" w:ascii="宋体" w:hAnsi="宋体" w:eastAsia="宋体" w:cs="宋体"/>
      <w:b/>
      <w:color w:val="000000"/>
      <w:sz w:val="22"/>
      <w:szCs w:val="22"/>
      <w:u w:val="none"/>
    </w:rPr>
  </w:style>
  <w:style w:type="character" w:customStyle="1" w:styleId="31">
    <w:name w:val="style1"/>
    <w:qFormat/>
    <w:uiPriority w:val="0"/>
    <w:rPr>
      <w:rFonts w:ascii="Times New Roman" w:hAnsi="Times New Roman" w:eastAsia="宋体" w:cs="Times New Roman"/>
    </w:rPr>
  </w:style>
  <w:style w:type="character" w:customStyle="1" w:styleId="32">
    <w:name w:val="正文缩进 Char"/>
    <w:link w:val="2"/>
    <w:qFormat/>
    <w:uiPriority w:val="0"/>
    <w:rPr>
      <w:rFonts w:ascii="Times New Roman" w:hAnsi="Times New Roman" w:eastAsia="宋体" w:cs="Times New Roman"/>
      <w:kern w:val="2"/>
      <w:sz w:val="21"/>
      <w:szCs w:val="24"/>
      <w:lang w:val="en-US" w:eastAsia="zh-CN" w:bidi="ar-SA"/>
    </w:rPr>
  </w:style>
  <w:style w:type="character" w:customStyle="1" w:styleId="33">
    <w:name w:val="apple-converted-space"/>
    <w:qFormat/>
    <w:uiPriority w:val="0"/>
    <w:rPr>
      <w:rFonts w:ascii="Times New Roman" w:hAnsi="Times New Roman" w:eastAsia="宋体" w:cs="Times New Roman"/>
    </w:rPr>
  </w:style>
  <w:style w:type="character" w:customStyle="1" w:styleId="34">
    <w:name w:val="font81"/>
    <w:qFormat/>
    <w:uiPriority w:val="0"/>
    <w:rPr>
      <w:rFonts w:hint="eastAsia" w:ascii="宋体" w:hAnsi="宋体" w:eastAsia="宋体" w:cs="宋体"/>
      <w:b/>
      <w:color w:val="000000"/>
      <w:sz w:val="22"/>
      <w:szCs w:val="22"/>
      <w:u w:val="none"/>
    </w:rPr>
  </w:style>
  <w:style w:type="character" w:customStyle="1" w:styleId="35">
    <w:name w:val="tdrownotice1"/>
    <w:qFormat/>
    <w:uiPriority w:val="0"/>
    <w:rPr>
      <w:rFonts w:hint="default" w:ascii="Times New Roman" w:hAnsi="Times New Roman" w:eastAsia="宋体" w:cs="Times New Roman"/>
      <w:sz w:val="22"/>
    </w:rPr>
  </w:style>
  <w:style w:type="character" w:customStyle="1" w:styleId="36">
    <w:name w:val="表正文 Char1"/>
    <w:qFormat/>
    <w:uiPriority w:val="0"/>
    <w:rPr>
      <w:rFonts w:ascii="Times New Roman" w:hAnsi="Times New Roman" w:eastAsia="宋体" w:cs="Times New Roman"/>
      <w:kern w:val="2"/>
      <w:sz w:val="21"/>
      <w:szCs w:val="24"/>
      <w:lang w:val="en-US" w:eastAsia="zh-CN" w:bidi="ar-SA"/>
    </w:rPr>
  </w:style>
  <w:style w:type="character" w:customStyle="1" w:styleId="37">
    <w:name w:val="font61"/>
    <w:qFormat/>
    <w:uiPriority w:val="0"/>
    <w:rPr>
      <w:rFonts w:hint="eastAsia" w:ascii="微软雅黑" w:hAnsi="微软雅黑" w:eastAsia="微软雅黑" w:cs="微软雅黑"/>
      <w:b/>
      <w:color w:val="000000"/>
      <w:sz w:val="22"/>
      <w:szCs w:val="22"/>
      <w:u w:val="none"/>
    </w:rPr>
  </w:style>
  <w:style w:type="character" w:customStyle="1" w:styleId="38">
    <w:name w:val="font71"/>
    <w:qFormat/>
    <w:uiPriority w:val="0"/>
    <w:rPr>
      <w:rFonts w:hint="eastAsia" w:ascii="宋体" w:hAnsi="宋体" w:eastAsia="宋体" w:cs="宋体"/>
      <w:color w:val="000000"/>
      <w:sz w:val="20"/>
      <w:szCs w:val="20"/>
      <w:u w:val="none"/>
    </w:rPr>
  </w:style>
  <w:style w:type="character" w:customStyle="1" w:styleId="39">
    <w:name w:val="font01"/>
    <w:qFormat/>
    <w:uiPriority w:val="0"/>
    <w:rPr>
      <w:rFonts w:hint="eastAsia" w:ascii="宋体" w:hAnsi="宋体" w:eastAsia="宋体" w:cs="宋体"/>
      <w:i/>
      <w:color w:val="000000"/>
      <w:sz w:val="20"/>
      <w:szCs w:val="20"/>
      <w:u w:val="none"/>
    </w:rPr>
  </w:style>
  <w:style w:type="character" w:customStyle="1" w:styleId="40">
    <w:name w:val="正文文本缩进 Char"/>
    <w:link w:val="8"/>
    <w:qFormat/>
    <w:uiPriority w:val="0"/>
    <w:rPr>
      <w:rFonts w:ascii="Times New Roman" w:hAnsi="Times New Roman" w:eastAsia="宋体" w:cs="Times New Roman"/>
      <w:kern w:val="2"/>
      <w:sz w:val="32"/>
      <w:lang w:val="en-US" w:eastAsia="zh-CN" w:bidi="ar-SA"/>
    </w:rPr>
  </w:style>
  <w:style w:type="character" w:customStyle="1" w:styleId="41">
    <w:name w:val="页码1"/>
    <w:qFormat/>
    <w:uiPriority w:val="0"/>
    <w:rPr>
      <w:rFonts w:ascii="Times New Roman" w:hAnsi="Times New Roman" w:eastAsia="宋体" w:cs="Times New Roman"/>
    </w:rPr>
  </w:style>
  <w:style w:type="character" w:customStyle="1" w:styleId="42">
    <w:name w:val="font41"/>
    <w:qFormat/>
    <w:uiPriority w:val="0"/>
    <w:rPr>
      <w:rFonts w:hint="eastAsia" w:ascii="宋体" w:hAnsi="宋体" w:eastAsia="宋体" w:cs="宋体"/>
      <w:color w:val="000000"/>
      <w:sz w:val="24"/>
      <w:szCs w:val="24"/>
      <w:u w:val="none"/>
    </w:rPr>
  </w:style>
  <w:style w:type="character" w:customStyle="1" w:styleId="43">
    <w:name w:val="font111"/>
    <w:qFormat/>
    <w:uiPriority w:val="0"/>
    <w:rPr>
      <w:rFonts w:hint="eastAsia" w:ascii="宋体" w:hAnsi="宋体" w:eastAsia="宋体" w:cs="宋体"/>
      <w:b/>
      <w:color w:val="000000"/>
      <w:sz w:val="32"/>
      <w:szCs w:val="32"/>
      <w:u w:val="none"/>
    </w:rPr>
  </w:style>
  <w:style w:type="character" w:customStyle="1" w:styleId="44">
    <w:name w:val="（符号）邀请函中一、"/>
    <w:qFormat/>
    <w:uiPriority w:val="0"/>
    <w:rPr>
      <w:rFonts w:ascii="黑体" w:hAnsi="黑体" w:eastAsia="黑体" w:cs="Times New Roman"/>
      <w:b/>
      <w:bCs/>
      <w:sz w:val="24"/>
    </w:rPr>
  </w:style>
  <w:style w:type="character" w:customStyle="1" w:styleId="45">
    <w:name w:val="font11"/>
    <w:qFormat/>
    <w:uiPriority w:val="0"/>
    <w:rPr>
      <w:rFonts w:hint="eastAsia" w:ascii="宋体" w:hAnsi="宋体" w:eastAsia="宋体" w:cs="宋体"/>
      <w:color w:val="000000"/>
      <w:sz w:val="24"/>
      <w:szCs w:val="24"/>
      <w:u w:val="none"/>
    </w:rPr>
  </w:style>
  <w:style w:type="character" w:customStyle="1" w:styleId="46">
    <w:name w:val="font21"/>
    <w:qFormat/>
    <w:uiPriority w:val="0"/>
    <w:rPr>
      <w:rFonts w:hint="eastAsia" w:ascii="宋体" w:hAnsi="宋体" w:eastAsia="宋体" w:cs="宋体"/>
      <w:color w:val="000000"/>
      <w:sz w:val="20"/>
      <w:szCs w:val="20"/>
      <w:u w:val="none"/>
    </w:rPr>
  </w:style>
  <w:style w:type="character" w:customStyle="1" w:styleId="47">
    <w:name w:val="左对齐的表内文字 Char"/>
    <w:link w:val="48"/>
    <w:qFormat/>
    <w:uiPriority w:val="0"/>
    <w:rPr>
      <w:rFonts w:ascii="Times New Roman" w:hAnsi="Times New Roman" w:eastAsia="仿宋_GB2312" w:cs="Times New Roman"/>
      <w:kern w:val="2"/>
      <w:sz w:val="21"/>
      <w:lang w:bidi="ar-SA"/>
    </w:rPr>
  </w:style>
  <w:style w:type="paragraph" w:customStyle="1" w:styleId="48">
    <w:name w:val="左对齐的表内文字"/>
    <w:basedOn w:val="1"/>
    <w:link w:val="47"/>
    <w:qFormat/>
    <w:uiPriority w:val="0"/>
    <w:rPr>
      <w:rFonts w:ascii="Times New Roman" w:eastAsia="仿宋_GB2312"/>
      <w:kern w:val="2"/>
      <w:sz w:val="21"/>
    </w:rPr>
  </w:style>
  <w:style w:type="character" w:customStyle="1" w:styleId="49">
    <w:name w:val="纯文本 Char"/>
    <w:link w:val="9"/>
    <w:qFormat/>
    <w:uiPriority w:val="0"/>
    <w:rPr>
      <w:rFonts w:ascii="宋体" w:hAnsi="Courier New" w:eastAsia="宋体" w:cs="Times New Roman"/>
      <w:kern w:val="2"/>
      <w:sz w:val="21"/>
      <w:lang w:val="en-US" w:eastAsia="zh-CN" w:bidi="ar-SA"/>
    </w:rPr>
  </w:style>
  <w:style w:type="paragraph" w:customStyle="1" w:styleId="50">
    <w:name w:val="_Style 3"/>
    <w:basedOn w:val="1"/>
    <w:qFormat/>
    <w:uiPriority w:val="34"/>
    <w:pPr>
      <w:ind w:firstLine="420" w:firstLineChars="200"/>
    </w:pPr>
  </w:style>
  <w:style w:type="paragraph" w:customStyle="1" w:styleId="51">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2">
    <w:name w:val="_Style 2"/>
    <w:basedOn w:val="1"/>
    <w:qFormat/>
    <w:uiPriority w:val="34"/>
    <w:pPr>
      <w:ind w:firstLine="420" w:firstLineChars="200"/>
    </w:pPr>
    <w:rPr>
      <w:rFonts w:ascii="Calibri"/>
    </w:rPr>
  </w:style>
  <w:style w:type="paragraph" w:customStyle="1" w:styleId="53">
    <w:name w:val="标准文本"/>
    <w:basedOn w:val="1"/>
    <w:qFormat/>
    <w:uiPriority w:val="0"/>
    <w:pPr>
      <w:spacing w:line="360" w:lineRule="auto"/>
      <w:ind w:firstLine="480" w:firstLineChars="200"/>
    </w:pPr>
    <w:rPr>
      <w:rFonts w:ascii="Times New Roman" w:cs="宋体"/>
      <w:sz w:val="24"/>
    </w:rPr>
  </w:style>
  <w:style w:type="paragraph" w:customStyle="1" w:styleId="54">
    <w:name w:val="正文缩进3"/>
    <w:basedOn w:val="1"/>
    <w:qFormat/>
    <w:uiPriority w:val="0"/>
    <w:pPr>
      <w:autoSpaceDE w:val="0"/>
      <w:autoSpaceDN w:val="0"/>
      <w:adjustRightInd w:val="0"/>
      <w:ind w:firstLine="420"/>
    </w:pPr>
    <w:rPr>
      <w:rFonts w:ascii="Times New Roman"/>
      <w:szCs w:val="21"/>
    </w:rPr>
  </w:style>
  <w:style w:type="paragraph" w:customStyle="1" w:styleId="55">
    <w:name w:val="表格"/>
    <w:basedOn w:val="1"/>
    <w:qFormat/>
    <w:uiPriority w:val="0"/>
    <w:pPr>
      <w:spacing w:line="400" w:lineRule="exact"/>
    </w:pPr>
    <w:rPr>
      <w:rFonts w:ascii="Times New Roman"/>
      <w:sz w:val="24"/>
    </w:rPr>
  </w:style>
  <w:style w:type="paragraph" w:styleId="56">
    <w:name w:val="List Paragraph"/>
    <w:basedOn w:val="1"/>
    <w:qFormat/>
    <w:uiPriority w:val="0"/>
    <w:pPr>
      <w:ind w:firstLine="420" w:firstLineChars="200"/>
    </w:pPr>
    <w:rPr>
      <w:rFonts w:ascii="Times New Roman"/>
      <w:sz w:val="18"/>
      <w:szCs w:val="18"/>
    </w:rPr>
  </w:style>
  <w:style w:type="paragraph" w:customStyle="1" w:styleId="57">
    <w:name w:val="Char1 Char Char Char"/>
    <w:basedOn w:val="1"/>
    <w:qFormat/>
    <w:uiPriority w:val="0"/>
    <w:rPr>
      <w:rFonts w:ascii="Times New Roman" w:eastAsia="仿宋_GB2312"/>
      <w:sz w:val="28"/>
    </w:rPr>
  </w:style>
  <w:style w:type="paragraph" w:customStyle="1" w:styleId="58">
    <w:name w:val="正文首行缩进两字符"/>
    <w:basedOn w:val="1"/>
    <w:qFormat/>
    <w:uiPriority w:val="0"/>
    <w:pPr>
      <w:spacing w:line="360" w:lineRule="auto"/>
      <w:ind w:firstLine="200" w:firstLineChars="200"/>
    </w:pPr>
    <w:rPr>
      <w:rFonts w:ascii="Times New Roman"/>
    </w:rPr>
  </w:style>
  <w:style w:type="paragraph" w:customStyle="1" w:styleId="59">
    <w:name w:val="Body Text 22"/>
    <w:basedOn w:val="1"/>
    <w:qFormat/>
    <w:uiPriority w:val="0"/>
    <w:pPr>
      <w:adjustRightInd w:val="0"/>
      <w:spacing w:line="300" w:lineRule="auto"/>
      <w:jc w:val="center"/>
      <w:textAlignment w:val="baseline"/>
    </w:pPr>
    <w:rPr>
      <w:rFonts w:hAnsi="宋体"/>
      <w:sz w:val="24"/>
    </w:rPr>
  </w:style>
  <w:style w:type="paragraph" w:customStyle="1" w:styleId="6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1">
    <w:name w:val="列出段落1"/>
    <w:basedOn w:val="1"/>
    <w:qFormat/>
    <w:uiPriority w:val="0"/>
    <w:pPr>
      <w:ind w:firstLine="420" w:firstLineChars="200"/>
    </w:pPr>
    <w:rPr>
      <w:rFonts w:ascii="Times New Roman"/>
    </w:rPr>
  </w:style>
  <w:style w:type="paragraph" w:customStyle="1" w:styleId="62">
    <w:name w:val="p0"/>
    <w:basedOn w:val="1"/>
    <w:qFormat/>
    <w:uiPriority w:val="0"/>
    <w:pPr>
      <w:widowControl/>
    </w:pPr>
    <w:rPr>
      <w:rFonts w:ascii="Times New Roman"/>
      <w:szCs w:val="21"/>
    </w:rPr>
  </w:style>
  <w:style w:type="paragraph" w:customStyle="1" w:styleId="63">
    <w:name w:val="左对齐的表内文字1"/>
    <w:basedOn w:val="1"/>
    <w:qFormat/>
    <w:uiPriority w:val="0"/>
    <w:rPr>
      <w:rFonts w:ascii="Times New Roman"/>
    </w:rPr>
  </w:style>
  <w:style w:type="paragraph" w:customStyle="1" w:styleId="64">
    <w:name w:val="List Paragraph1"/>
    <w:basedOn w:val="1"/>
    <w:qFormat/>
    <w:uiPriority w:val="99"/>
    <w:pPr>
      <w:ind w:firstLine="420" w:firstLineChars="200"/>
    </w:pPr>
    <w:rPr>
      <w:rFonts w:ascii="Times New Roman"/>
      <w:szCs w:val="34"/>
    </w:rPr>
  </w:style>
  <w:style w:type="paragraph" w:customStyle="1" w:styleId="65">
    <w:name w:val="0"/>
    <w:qFormat/>
    <w:uiPriority w:val="0"/>
    <w:pPr>
      <w:snapToGrid w:val="0"/>
    </w:pPr>
    <w:rPr>
      <w:rFonts w:ascii="Calibri" w:hAnsi="Calibri" w:eastAsia="宋体" w:cs="Times New Roman"/>
      <w:lang w:val="en-US" w:eastAsia="zh-CN" w:bidi="ar-SA"/>
    </w:rPr>
  </w:style>
  <w:style w:type="paragraph" w:customStyle="1" w:styleId="66">
    <w:name w:val="pa-8"/>
    <w:basedOn w:val="1"/>
    <w:qFormat/>
    <w:uiPriority w:val="0"/>
    <w:pPr>
      <w:widowControl/>
      <w:spacing w:before="150" w:after="150"/>
      <w:jc w:val="left"/>
    </w:pPr>
    <w:rPr>
      <w:rFonts w:hAnsi="宋体" w:cs="宋体"/>
      <w:sz w:val="24"/>
      <w:szCs w:val="24"/>
    </w:rPr>
  </w:style>
  <w:style w:type="paragraph" w:customStyle="1" w:styleId="67">
    <w:name w:val="+正文"/>
    <w:basedOn w:val="1"/>
    <w:qFormat/>
    <w:uiPriority w:val="0"/>
    <w:pPr>
      <w:spacing w:line="360" w:lineRule="auto"/>
      <w:ind w:firstLine="200" w:firstLineChars="200"/>
    </w:pPr>
    <w:rPr>
      <w:rFonts w:ascii="Times New Roman" w:eastAsia="楷体_GB2312"/>
      <w:szCs w:val="28"/>
    </w:rPr>
  </w:style>
  <w:style w:type="paragraph" w:styleId="68">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69">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0">
    <w:name w:val="样式 首行缩进:  2 字符"/>
    <w:basedOn w:val="1"/>
    <w:qFormat/>
    <w:uiPriority w:val="0"/>
    <w:pPr>
      <w:spacing w:line="400" w:lineRule="exact"/>
      <w:ind w:firstLine="200" w:firstLineChars="200"/>
    </w:pPr>
    <w:rPr>
      <w:rFonts w:ascii="Times New Roman" w:cs="宋体"/>
      <w:sz w:val="24"/>
    </w:rPr>
  </w:style>
  <w:style w:type="paragraph" w:customStyle="1" w:styleId="71">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3">
    <w:name w:val="首行缩进"/>
    <w:basedOn w:val="1"/>
    <w:qFormat/>
    <w:uiPriority w:val="99"/>
    <w:pPr>
      <w:spacing w:line="360" w:lineRule="auto"/>
      <w:ind w:firstLine="480" w:firstLineChars="200"/>
      <w:jc w:val="left"/>
    </w:pPr>
    <w:rPr>
      <w:rFonts w:ascii="宋体" w:hAnsi="宋体"/>
      <w:sz w:val="24"/>
    </w:rPr>
  </w:style>
  <w:style w:type="paragraph" w:customStyle="1" w:styleId="74">
    <w:name w:val="正文 A"/>
    <w:next w:val="75"/>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val="none" w:color="000000"/>
      <w:lang w:val="en-US" w:eastAsia="zh-CN" w:bidi="ar-SA"/>
    </w:rPr>
  </w:style>
  <w:style w:type="paragraph" w:customStyle="1" w:styleId="75">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26</Pages>
  <Words>10542</Words>
  <Characters>11097</Characters>
  <Lines>139</Lines>
  <Paragraphs>39</Paragraphs>
  <TotalTime>14</TotalTime>
  <ScaleCrop>false</ScaleCrop>
  <LinksUpToDate>false</LinksUpToDate>
  <CharactersWithSpaces>11378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2020-10-29T09:17:00Z</dcterms:created>
  <dc:creator>微软用户</dc:creator>
  <cp:lastModifiedBy>Administrator</cp:lastModifiedBy>
  <cp:lastPrinted>2015-08-20T10:29:00Z</cp:lastPrinted>
  <dcterms:modified xsi:type="dcterms:W3CDTF">2023-07-06T09:07:05Z</dcterms:modified>
  <dc:title>招标编号：SCSZ-2013-02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B15FB3C0C4BD4D77822C76E0249CED0B_13</vt:lpwstr>
  </property>
</Properties>
</file>