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6</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
        <w:rPr>
          <w:lang w:val="zh-CN"/>
        </w:rPr>
      </w:pPr>
      <w:r>
        <w:rPr>
          <w:lang w:val="zh-CN"/>
        </w:rPr>
        <w:br w:type="page"/>
      </w:r>
    </w:p>
    <w:p>
      <w:pPr>
        <w:pStyle w:val="5"/>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四川铁道职业学院拟对2023年度校内家具维修</w:t>
      </w:r>
      <w:r>
        <w:rPr>
          <w:rFonts w:hint="eastAsia" w:ascii="宋体" w:hAnsi="宋体" w:eastAsia="宋体" w:cs="Times New Roman"/>
          <w:sz w:val="24"/>
          <w:szCs w:val="24"/>
          <w:lang w:eastAsia="zh-CN"/>
        </w:rPr>
        <w:t>服务</w:t>
      </w:r>
      <w:r>
        <w:rPr>
          <w:rFonts w:hint="eastAsia" w:ascii="宋体" w:hAnsi="宋体" w:eastAsia="宋体" w:cs="Times New Roman"/>
          <w:sz w:val="24"/>
          <w:szCs w:val="24"/>
          <w:lang w:val="en-US" w:eastAsia="zh-CN"/>
        </w:rPr>
        <w:t>第2次</w:t>
      </w:r>
      <w:r>
        <w:rPr>
          <w:rFonts w:ascii="宋体" w:hAnsi="宋体" w:eastAsia="宋体" w:cs="Times New Roman"/>
          <w:sz w:val="24"/>
          <w:szCs w:val="24"/>
        </w:rPr>
        <w:t>进行公开采购。遵循公开、公平、公正的原则，欢迎符合条件的各潜在供应商积极参与该项目的采购工作。现就有关事项公告如下：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b/>
          <w:sz w:val="24"/>
          <w:szCs w:val="24"/>
          <w:lang w:val="en-US" w:eastAsia="zh-CN"/>
        </w:rPr>
        <w:t>2023年度校内家具维修服务第2次</w:t>
      </w:r>
    </w:p>
    <w:p>
      <w:pPr>
        <w:spacing w:line="360" w:lineRule="auto"/>
        <w:ind w:firstLine="482" w:firstLineChars="200"/>
        <w:outlineLvl w:val="1"/>
        <w:rPr>
          <w:rFonts w:hint="default" w:ascii="宋体" w:hAnsi="宋体" w:eastAsia="宋体" w:cs="Times New Roman"/>
          <w:b/>
          <w:sz w:val="24"/>
          <w:szCs w:val="24"/>
          <w:lang w:val="en-US"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w:t>
      </w:r>
      <w:r>
        <w:rPr>
          <w:rFonts w:hint="eastAsia" w:ascii="宋体" w:hAnsi="宋体" w:eastAsia="宋体" w:cs="Times New Roman"/>
          <w:b/>
          <w:sz w:val="24"/>
          <w:szCs w:val="24"/>
          <w:lang w:val="en-US" w:eastAsia="zh-CN"/>
        </w:rPr>
        <w:t>003-1</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lang w:val="en-US" w:eastAsia="zh-CN"/>
        </w:rPr>
        <w:t>7</w:t>
      </w:r>
      <w:r>
        <w:rPr>
          <w:rFonts w:ascii="宋体" w:hAnsi="宋体" w:eastAsia="宋体" w:cs="Times New Roman"/>
          <w:sz w:val="24"/>
          <w:szCs w:val="24"/>
        </w:rPr>
        <w:t>月</w:t>
      </w:r>
      <w:r>
        <w:rPr>
          <w:rFonts w:hint="eastAsia" w:ascii="宋体" w:hAnsi="宋体" w:eastAsia="宋体" w:cs="Times New Roman"/>
          <w:sz w:val="24"/>
          <w:szCs w:val="24"/>
          <w:lang w:val="en-US" w:eastAsia="zh-CN"/>
        </w:rPr>
        <w:t>3</w:t>
      </w:r>
      <w:r>
        <w:rPr>
          <w:rFonts w:ascii="宋体" w:hAnsi="宋体" w:eastAsia="宋体" w:cs="Times New Roman"/>
          <w:sz w:val="24"/>
          <w:szCs w:val="24"/>
        </w:rPr>
        <w:t>日时</w:t>
      </w: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bookmarkStart w:id="36" w:name="_GoBack"/>
      <w:bookmarkEnd w:id="36"/>
    </w:p>
    <w:p>
      <w:pPr>
        <w:pStyle w:val="11"/>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1.比选申请文件应在参加比选时间前送达比选地到的文件将被拒收。</w:t>
      </w:r>
    </w:p>
    <w:p>
      <w:pPr>
        <w:pStyle w:val="11"/>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7"/>
        <w:numPr>
          <w:ilvl w:val="0"/>
          <w:numId w:val="3"/>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提交比选申请文件地点和比选地点</w:t>
      </w:r>
    </w:p>
    <w:p>
      <w:pPr>
        <w:pStyle w:val="11"/>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李老师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18147"/>
      <w:bookmarkStart w:id="3" w:name="_Toc4075"/>
      <w:bookmarkStart w:id="4" w:name="_Toc23677"/>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0"/>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50000</w:t>
            </w:r>
            <w:r>
              <w:rPr>
                <w:rFonts w:hint="eastAsia" w:cstheme="minorBidi"/>
                <w:bCs/>
                <w:color w:val="000000" w:themeColor="text1"/>
                <w:kern w:val="2"/>
                <w:sz w:val="21"/>
                <w:szCs w:val="21"/>
                <w:lang w:val="zh-CN"/>
                <w14:textFill>
                  <w14:solidFill>
                    <w14:schemeClr w14:val="tx1"/>
                  </w14:solidFill>
                </w14:textFill>
              </w:rPr>
              <w:t>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50000</w:t>
            </w:r>
            <w:r>
              <w:rPr>
                <w:rFonts w:hint="eastAsia" w:cstheme="minorBidi"/>
                <w:bCs/>
                <w:color w:val="000000" w:themeColor="text1"/>
                <w:kern w:val="2"/>
                <w:sz w:val="21"/>
                <w:szCs w:val="21"/>
                <w:lang w:val="zh-CN"/>
                <w14:textFill>
                  <w14:solidFill>
                    <w14:schemeClr w14:val="tx1"/>
                  </w14:solidFill>
                </w14:textFill>
              </w:rPr>
              <w:t>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cs="Times New Roman"/>
                <w:sz w:val="22"/>
                <w:szCs w:val="22"/>
                <w:lang w:val="zh-CN"/>
              </w:rPr>
              <w:t>不正当竞争预防措施</w:t>
            </w:r>
          </w:p>
          <w:p>
            <w:pPr>
              <w:pStyle w:val="36"/>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rPr>
            </w:pPr>
            <w:r>
              <w:rPr>
                <w:rFonts w:hint="eastAsia" w:cs="Times New Roman"/>
                <w:sz w:val="22"/>
                <w:szCs w:val="22"/>
              </w:rPr>
              <w:t>信用记录查询</w:t>
            </w:r>
          </w:p>
          <w:p>
            <w:pPr>
              <w:pStyle w:val="36"/>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合同分包</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联合体</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6"/>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682353"/>
      <w:bookmarkStart w:id="11" w:name="_Toc217446044"/>
      <w:bookmarkStart w:id="12" w:name="_Toc183582216"/>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7"/>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217446055"/>
      <w:bookmarkStart w:id="14" w:name="_Toc183582228"/>
      <w:bookmarkStart w:id="15" w:name="_Toc18368236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338364"/>
      <w:bookmarkStart w:id="17" w:name="_Toc430773927"/>
      <w:bookmarkStart w:id="18" w:name="_Toc209847069"/>
      <w:bookmarkStart w:id="19" w:name="_Toc101174151"/>
      <w:bookmarkStart w:id="20" w:name="_Toc101250646"/>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21"/>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695"/>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5"/>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ind w:firstLine="240" w:firstLineChars="100"/>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校内家具主要维修内容为：办公家具、公寓家具等。</w:t>
      </w:r>
    </w:p>
    <w:p>
      <w:pPr>
        <w:snapToGrid w:val="0"/>
        <w:spacing w:line="560" w:lineRule="exact"/>
        <w:ind w:firstLine="281" w:firstLineChars="100"/>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二、技术</w:t>
      </w:r>
      <w:r>
        <w:rPr>
          <w:rFonts w:hint="eastAsia" w:ascii="宋体" w:hAnsi="宋体" w:eastAsia="宋体" w:cs="仿宋"/>
          <w:b/>
          <w:bCs/>
          <w:sz w:val="28"/>
          <w:szCs w:val="24"/>
        </w:rPr>
        <w:t>参数</w:t>
      </w:r>
      <w:r>
        <w:rPr>
          <w:rFonts w:hint="eastAsia" w:ascii="宋体" w:hAnsi="宋体" w:eastAsia="宋体" w:cs="仿宋"/>
          <w:b/>
          <w:bCs/>
          <w:sz w:val="28"/>
          <w:szCs w:val="24"/>
          <w:lang w:val="zh-CN"/>
        </w:rPr>
        <w:t>要求</w:t>
      </w:r>
    </w:p>
    <w:tbl>
      <w:tblPr>
        <w:tblStyle w:val="20"/>
        <w:tblW w:w="9577" w:type="dxa"/>
        <w:tblInd w:w="0" w:type="dxa"/>
        <w:tblLayout w:type="fixed"/>
        <w:tblCellMar>
          <w:top w:w="0" w:type="dxa"/>
          <w:left w:w="108" w:type="dxa"/>
          <w:bottom w:w="0" w:type="dxa"/>
          <w:right w:w="108" w:type="dxa"/>
        </w:tblCellMar>
      </w:tblPr>
      <w:tblGrid>
        <w:gridCol w:w="924"/>
        <w:gridCol w:w="3466"/>
        <w:gridCol w:w="2268"/>
        <w:gridCol w:w="992"/>
        <w:gridCol w:w="1927"/>
      </w:tblGrid>
      <w:tr>
        <w:tblPrEx>
          <w:tblCellMar>
            <w:top w:w="0" w:type="dxa"/>
            <w:left w:w="108" w:type="dxa"/>
            <w:bottom w:w="0" w:type="dxa"/>
            <w:right w:w="108" w:type="dxa"/>
          </w:tblCellMar>
        </w:tblPrEx>
        <w:trPr>
          <w:trHeight w:val="284" w:hRule="atLeast"/>
        </w:trPr>
        <w:tc>
          <w:tcPr>
            <w:tcW w:w="9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序号</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维修材料及人工</w:t>
            </w:r>
          </w:p>
        </w:tc>
        <w:tc>
          <w:tcPr>
            <w:tcW w:w="2268"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规格</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单位</w:t>
            </w:r>
          </w:p>
        </w:tc>
        <w:tc>
          <w:tcPr>
            <w:tcW w:w="1927"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单价（元）</w:t>
            </w: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1</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条形床梯脚踏板</w:t>
            </w:r>
          </w:p>
        </w:tc>
        <w:tc>
          <w:tcPr>
            <w:tcW w:w="226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250</w:t>
            </w:r>
            <w:r>
              <w:rPr>
                <w:rFonts w:ascii="仿宋" w:hAnsi="仿宋" w:eastAsia="仿宋"/>
                <w:sz w:val="24"/>
                <w:szCs w:val="24"/>
              </w:rPr>
              <w:t>mm</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个</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2</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床铺板</w:t>
            </w:r>
          </w:p>
        </w:tc>
        <w:tc>
          <w:tcPr>
            <w:tcW w:w="226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1900*730</w:t>
            </w:r>
            <w:r>
              <w:rPr>
                <w:rFonts w:hint="eastAsia" w:ascii="仿宋" w:hAnsi="仿宋" w:eastAsia="仿宋"/>
                <w:sz w:val="24"/>
                <w:szCs w:val="24"/>
              </w:rPr>
              <w:t>*</w:t>
            </w:r>
            <w:r>
              <w:rPr>
                <w:rFonts w:ascii="仿宋" w:hAnsi="仿宋" w:eastAsia="仿宋"/>
                <w:sz w:val="24"/>
                <w:szCs w:val="24"/>
              </w:rPr>
              <w:t>12mm</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张</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3</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床铺板</w:t>
            </w:r>
          </w:p>
        </w:tc>
        <w:tc>
          <w:tcPr>
            <w:tcW w:w="226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1900*830</w:t>
            </w:r>
            <w:r>
              <w:rPr>
                <w:rFonts w:hint="eastAsia" w:ascii="仿宋" w:hAnsi="仿宋" w:eastAsia="仿宋"/>
                <w:sz w:val="24"/>
                <w:szCs w:val="24"/>
              </w:rPr>
              <w:t>*</w:t>
            </w:r>
            <w:r>
              <w:rPr>
                <w:rFonts w:ascii="仿宋" w:hAnsi="仿宋" w:eastAsia="仿宋"/>
                <w:sz w:val="24"/>
                <w:szCs w:val="24"/>
              </w:rPr>
              <w:t>12mm</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张</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4</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二节抽轨</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jc w:val="center"/>
              <w:rPr>
                <w:rFonts w:ascii="仿宋" w:hAnsi="仿宋" w:eastAsia="仿宋"/>
                <w:sz w:val="24"/>
                <w:szCs w:val="24"/>
              </w:rPr>
            </w:pPr>
            <w:r>
              <w:rPr>
                <w:rFonts w:ascii="仿宋" w:hAnsi="仿宋" w:eastAsia="仿宋"/>
                <w:sz w:val="24"/>
                <w:szCs w:val="24"/>
              </w:rPr>
              <w:t>300mm</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副</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5</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三节抽轨</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jc w:val="center"/>
              <w:rPr>
                <w:rFonts w:ascii="仿宋" w:hAnsi="仿宋" w:eastAsia="仿宋"/>
                <w:sz w:val="24"/>
                <w:szCs w:val="24"/>
              </w:rPr>
            </w:pPr>
            <w:r>
              <w:rPr>
                <w:rFonts w:ascii="仿宋" w:hAnsi="仿宋" w:eastAsia="仿宋"/>
                <w:sz w:val="24"/>
                <w:szCs w:val="24"/>
              </w:rPr>
              <w:t>400mm</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副</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6</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衣柜背板</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jc w:val="center"/>
              <w:rPr>
                <w:rFonts w:ascii="仿宋" w:hAnsi="仿宋" w:eastAsia="仿宋"/>
                <w:sz w:val="24"/>
                <w:szCs w:val="24"/>
              </w:rPr>
            </w:pPr>
            <w:r>
              <w:rPr>
                <w:rFonts w:hint="eastAsia" w:ascii="仿宋" w:hAnsi="仿宋" w:eastAsia="仿宋"/>
                <w:sz w:val="24"/>
                <w:szCs w:val="24"/>
              </w:rPr>
              <w:t>常规</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张</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7</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不锈钢挂衣杆</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jc w:val="center"/>
              <w:rPr>
                <w:rFonts w:ascii="仿宋" w:hAnsi="仿宋" w:eastAsia="仿宋"/>
                <w:sz w:val="24"/>
                <w:szCs w:val="24"/>
              </w:rPr>
            </w:pPr>
            <w:r>
              <w:rPr>
                <w:rFonts w:hint="eastAsia" w:ascii="仿宋" w:hAnsi="仿宋" w:eastAsia="仿宋"/>
                <w:sz w:val="24"/>
                <w:szCs w:val="24"/>
              </w:rPr>
              <w:t>常规</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根</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8</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蚊帐杆</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jc w:val="center"/>
              <w:rPr>
                <w:rFonts w:ascii="仿宋" w:hAnsi="仿宋" w:eastAsia="仿宋"/>
                <w:sz w:val="24"/>
                <w:szCs w:val="24"/>
              </w:rPr>
            </w:pPr>
            <w:r>
              <w:rPr>
                <w:rFonts w:hint="eastAsia" w:ascii="仿宋" w:hAnsi="仿宋" w:eastAsia="仿宋"/>
                <w:sz w:val="24"/>
                <w:szCs w:val="24"/>
              </w:rPr>
              <w:t>常规</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副</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9</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衣柜锁扣</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jc w:val="center"/>
              <w:rPr>
                <w:rFonts w:ascii="仿宋" w:hAnsi="仿宋" w:eastAsia="仿宋"/>
                <w:sz w:val="24"/>
                <w:szCs w:val="24"/>
              </w:rPr>
            </w:pPr>
            <w:r>
              <w:rPr>
                <w:rFonts w:hint="eastAsia" w:ascii="仿宋" w:hAnsi="仿宋" w:eastAsia="仿宋"/>
                <w:sz w:val="24"/>
                <w:szCs w:val="24"/>
              </w:rPr>
              <w:t>常规</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个</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10</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小角铁</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个</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11</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自攻螺丝</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公斤</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12</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十字燕尾螺丝</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公斤</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569"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ascii="仿宋" w:hAnsi="仿宋" w:eastAsia="仿宋"/>
                <w:sz w:val="24"/>
                <w:szCs w:val="24"/>
              </w:rPr>
              <w:t>13</w:t>
            </w:r>
          </w:p>
        </w:tc>
        <w:tc>
          <w:tcPr>
            <w:tcW w:w="3466" w:type="dxa"/>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零星点工含税（费）包干单价</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元/天</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1736" w:hRule="atLeast"/>
        </w:trPr>
        <w:tc>
          <w:tcPr>
            <w:tcW w:w="9577" w:type="dxa"/>
            <w:gridSpan w:val="5"/>
            <w:tcBorders>
              <w:top w:val="single" w:color="auto" w:sz="4" w:space="0"/>
              <w:left w:val="nil"/>
              <w:bottom w:val="nil"/>
              <w:right w:val="nil"/>
            </w:tcBorders>
            <w:vAlign w:val="center"/>
          </w:tcPr>
          <w:p>
            <w:pPr>
              <w:spacing w:line="360" w:lineRule="auto"/>
              <w:rPr>
                <w:rFonts w:ascii="仿宋" w:hAnsi="仿宋" w:eastAsia="仿宋"/>
                <w:sz w:val="24"/>
                <w:szCs w:val="24"/>
              </w:rPr>
            </w:pPr>
            <w:r>
              <w:rPr>
                <w:rFonts w:hint="eastAsia" w:ascii="仿宋" w:hAnsi="仿宋" w:eastAsia="仿宋"/>
                <w:sz w:val="24"/>
                <w:szCs w:val="24"/>
              </w:rPr>
              <w:t>备注：</w:t>
            </w:r>
          </w:p>
          <w:p>
            <w:pPr>
              <w:spacing w:line="360" w:lineRule="auto"/>
              <w:ind w:firstLine="240" w:firstLineChars="100"/>
              <w:rPr>
                <w:rFonts w:ascii="仿宋" w:hAnsi="仿宋" w:eastAsia="仿宋"/>
                <w:sz w:val="24"/>
                <w:szCs w:val="24"/>
              </w:rPr>
            </w:pPr>
            <w:r>
              <w:rPr>
                <w:rFonts w:hint="eastAsia" w:ascii="仿宋" w:hAnsi="仿宋" w:eastAsia="仿宋"/>
                <w:sz w:val="24"/>
                <w:szCs w:val="24"/>
              </w:rPr>
              <w:t>1、各类维修项目更换材料与原使用材料一致。</w:t>
            </w:r>
          </w:p>
          <w:p>
            <w:pPr>
              <w:spacing w:line="360" w:lineRule="auto"/>
              <w:ind w:left="210" w:leftChars="100"/>
              <w:rPr>
                <w:rFonts w:ascii="仿宋" w:hAnsi="仿宋" w:eastAsia="仿宋"/>
                <w:sz w:val="24"/>
                <w:szCs w:val="24"/>
              </w:rPr>
            </w:pPr>
            <w:r>
              <w:rPr>
                <w:rFonts w:hint="eastAsia" w:ascii="仿宋" w:hAnsi="仿宋" w:eastAsia="仿宋"/>
                <w:sz w:val="24"/>
                <w:szCs w:val="24"/>
              </w:rPr>
              <w:t>2、各类维修项目都包工包料、包含撤除的废旧材料及产生垃圾的清运费用。</w:t>
            </w:r>
          </w:p>
          <w:p>
            <w:pPr>
              <w:spacing w:line="360" w:lineRule="auto"/>
              <w:ind w:left="210" w:leftChars="100"/>
              <w:rPr>
                <w:rFonts w:ascii="仿宋" w:hAnsi="仿宋" w:eastAsia="仿宋"/>
                <w:sz w:val="24"/>
                <w:szCs w:val="24"/>
              </w:rPr>
            </w:pPr>
            <w:r>
              <w:rPr>
                <w:rFonts w:hint="eastAsia" w:ascii="仿宋" w:hAnsi="仿宋" w:eastAsia="仿宋"/>
                <w:sz w:val="24"/>
                <w:szCs w:val="24"/>
              </w:rPr>
              <w:t>3、未在报价中的其他维修项目以双方协商为准，不能高于市场价。</w:t>
            </w:r>
          </w:p>
        </w:tc>
      </w:tr>
    </w:tbl>
    <w:p>
      <w:pPr>
        <w:snapToGrid w:val="0"/>
        <w:spacing w:line="560" w:lineRule="exact"/>
        <w:ind w:firstLine="281" w:firstLineChars="100"/>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三、服务要求</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、维修量无论大小、难易，只要甲方安排，乙方在接到甲方维修任务</w:t>
      </w:r>
      <w:r>
        <w:rPr>
          <w:rFonts w:ascii="仿宋" w:hAnsi="仿宋" w:eastAsia="仿宋"/>
          <w:sz w:val="24"/>
          <w:szCs w:val="24"/>
        </w:rPr>
        <w:t>8</w:t>
      </w:r>
      <w:r>
        <w:rPr>
          <w:rFonts w:hint="eastAsia" w:ascii="仿宋" w:hAnsi="仿宋" w:eastAsia="仿宋"/>
          <w:sz w:val="24"/>
          <w:szCs w:val="24"/>
        </w:rPr>
        <w:t>小时内要到达现场，紧急情况要确保</w:t>
      </w:r>
      <w:r>
        <w:rPr>
          <w:rFonts w:ascii="仿宋" w:hAnsi="仿宋" w:eastAsia="仿宋"/>
          <w:sz w:val="24"/>
          <w:szCs w:val="24"/>
        </w:rPr>
        <w:t>4</w:t>
      </w:r>
      <w:r>
        <w:rPr>
          <w:rFonts w:hint="eastAsia" w:ascii="仿宋" w:hAnsi="仿宋" w:eastAsia="仿宋"/>
          <w:sz w:val="24"/>
          <w:szCs w:val="24"/>
        </w:rPr>
        <w:t>小时内到场。2天内报出书面维修方案和费用，在方案获得批准后立即开始实施，并在规定的时间内完成维修和验收，逾期则按总价的5%/天标准承担违约金。确保通讯工具24小时开通，在需要时能够执行甲方的加班要求。</w:t>
      </w:r>
      <w:r>
        <w:rPr>
          <w:rFonts w:hint="eastAsia" w:ascii="仿宋" w:hAnsi="仿宋" w:eastAsia="仿宋"/>
          <w:sz w:val="24"/>
          <w:szCs w:val="24"/>
        </w:rPr>
        <w:br w:type="textWrapping"/>
      </w:r>
      <w:r>
        <w:rPr>
          <w:rFonts w:ascii="仿宋" w:hAnsi="仿宋" w:eastAsia="仿宋"/>
          <w:sz w:val="24"/>
          <w:szCs w:val="24"/>
        </w:rPr>
        <w:t xml:space="preserve">    2</w:t>
      </w:r>
      <w:r>
        <w:rPr>
          <w:rFonts w:hint="eastAsia" w:ascii="仿宋" w:hAnsi="仿宋" w:eastAsia="仿宋"/>
          <w:sz w:val="24"/>
          <w:szCs w:val="24"/>
        </w:rPr>
        <w:t>、保证在资质范围内对甲方校内家具进行维修。</w:t>
      </w:r>
      <w:r>
        <w:rPr>
          <w:rFonts w:hint="eastAsia" w:ascii="仿宋" w:hAnsi="仿宋" w:eastAsia="仿宋"/>
          <w:sz w:val="24"/>
          <w:szCs w:val="24"/>
        </w:rPr>
        <w:br w:type="textWrapping"/>
      </w:r>
      <w:r>
        <w:rPr>
          <w:rFonts w:hint="eastAsia" w:ascii="仿宋" w:hAnsi="仿宋" w:eastAsia="仿宋"/>
          <w:sz w:val="24"/>
          <w:szCs w:val="24"/>
        </w:rPr>
        <w:t xml:space="preserve">  </w:t>
      </w:r>
      <w:r>
        <w:rPr>
          <w:rFonts w:ascii="仿宋" w:hAnsi="仿宋" w:eastAsia="仿宋"/>
          <w:sz w:val="24"/>
          <w:szCs w:val="24"/>
        </w:rPr>
        <w:t xml:space="preserve">  3</w:t>
      </w:r>
      <w:r>
        <w:rPr>
          <w:rFonts w:hint="eastAsia" w:ascii="仿宋" w:hAnsi="仿宋" w:eastAsia="仿宋"/>
          <w:sz w:val="24"/>
          <w:szCs w:val="24"/>
        </w:rPr>
        <w:t>、乙方在维修前，应对维修人员及相关人员进行安全培训及交底，保证维修器具、维修设备、维修材料及维修环境处于安全状态下，在维修实施期间乙方保证按照相关行业规范及安全条例进行操作，并做好防护，对维修过程中出现的给他人或自身造成伤害的一切安全事故负全责，接受甲方的监督。</w:t>
      </w:r>
      <w:r>
        <w:rPr>
          <w:rFonts w:hint="eastAsia" w:ascii="仿宋" w:hAnsi="仿宋" w:eastAsia="仿宋"/>
          <w:sz w:val="24"/>
          <w:szCs w:val="24"/>
        </w:rPr>
        <w:br w:type="textWrapping"/>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4</w:t>
      </w:r>
      <w:r>
        <w:rPr>
          <w:rFonts w:hint="eastAsia" w:ascii="仿宋" w:hAnsi="仿宋" w:eastAsia="仿宋"/>
          <w:sz w:val="24"/>
          <w:szCs w:val="24"/>
        </w:rPr>
        <w:t>、乙方应按照维修方案及现行维修及验收规范进行维修，在每道工序完工后，并在隐蔽前应及时通知甲方管理人员到现场查看验收。</w:t>
      </w:r>
      <w:r>
        <w:rPr>
          <w:rFonts w:hint="eastAsia" w:ascii="仿宋" w:hAnsi="仿宋" w:eastAsia="仿宋"/>
          <w:sz w:val="24"/>
          <w:szCs w:val="24"/>
        </w:rPr>
        <w:br w:type="textWrapping"/>
      </w:r>
      <w:r>
        <w:rPr>
          <w:rFonts w:hint="eastAsia" w:ascii="仿宋" w:hAnsi="仿宋" w:eastAsia="仿宋"/>
          <w:sz w:val="24"/>
          <w:szCs w:val="24"/>
        </w:rPr>
        <w:t xml:space="preserve">  </w:t>
      </w:r>
      <w:r>
        <w:rPr>
          <w:rFonts w:ascii="仿宋" w:hAnsi="仿宋" w:eastAsia="仿宋"/>
          <w:sz w:val="24"/>
          <w:szCs w:val="24"/>
        </w:rPr>
        <w:t xml:space="preserve">  5</w:t>
      </w:r>
      <w:r>
        <w:rPr>
          <w:rFonts w:hint="eastAsia" w:ascii="仿宋" w:hAnsi="仿宋" w:eastAsia="仿宋"/>
          <w:sz w:val="24"/>
          <w:szCs w:val="24"/>
        </w:rPr>
        <w:t>、维修所需费用（维修报价清单中未涉及的项目），乙方应提出合理价格与甲方协商，如乙方多次出现漫天要价或提出极不合理价格，甲方有权视情节严重程度给予经济处罚，直至解除合同。</w:t>
      </w:r>
      <w:r>
        <w:rPr>
          <w:rFonts w:hint="eastAsia" w:ascii="仿宋" w:hAnsi="仿宋" w:eastAsia="仿宋"/>
          <w:sz w:val="24"/>
          <w:szCs w:val="24"/>
        </w:rPr>
        <w:br w:type="textWrapping"/>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6</w:t>
      </w:r>
      <w:r>
        <w:rPr>
          <w:rFonts w:hint="eastAsia" w:ascii="仿宋" w:hAnsi="仿宋" w:eastAsia="仿宋"/>
          <w:sz w:val="24"/>
          <w:szCs w:val="24"/>
        </w:rPr>
        <w:t xml:space="preserve">、乙方维修过程中需使用电、水源，应事先与甲方取得联系，不得私拉乱接。   </w:t>
      </w:r>
    </w:p>
    <w:p>
      <w:pPr>
        <w:spacing w:line="360" w:lineRule="auto"/>
        <w:ind w:firstLine="480" w:firstLineChars="200"/>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乙方应做到文明维修，遵守规范，服从管理，杜绝野蛮施工，在维修过程中当天产生的垃圾尽量当日清理干净。维修结束后，乙方应对维修现场彻底清理，做到工完、料尽、场地清。清理出的垃圾要堆放在甲方指定的场地内，否则甲方可根据实际情况进行处罚或更换维修服务单位。</w:t>
      </w:r>
    </w:p>
    <w:p>
      <w:pPr>
        <w:autoSpaceDE w:val="0"/>
        <w:autoSpaceDN w:val="0"/>
        <w:spacing w:line="520" w:lineRule="exact"/>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四、商务要求（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tbl>
      <w:tblPr>
        <w:tblStyle w:val="20"/>
        <w:tblW w:w="51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631"/>
        <w:gridCol w:w="2047"/>
        <w:gridCol w:w="7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36"/>
              <w:spacing w:line="300" w:lineRule="auto"/>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序号</w:t>
            </w:r>
          </w:p>
        </w:tc>
        <w:tc>
          <w:tcPr>
            <w:tcW w:w="1019" w:type="pct"/>
            <w:vAlign w:val="center"/>
          </w:tcPr>
          <w:p>
            <w:pPr>
              <w:pStyle w:val="36"/>
              <w:spacing w:line="300" w:lineRule="auto"/>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内容</w:t>
            </w:r>
          </w:p>
        </w:tc>
        <w:tc>
          <w:tcPr>
            <w:tcW w:w="3665" w:type="pct"/>
            <w:vAlign w:val="center"/>
          </w:tcPr>
          <w:p>
            <w:pPr>
              <w:pStyle w:val="36"/>
              <w:spacing w:line="300" w:lineRule="auto"/>
              <w:ind w:left="210" w:leftChars="100"/>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9" w:hRule="atLeast"/>
          <w:jc w:val="center"/>
        </w:trPr>
        <w:tc>
          <w:tcPr>
            <w:tcW w:w="314" w:type="pct"/>
            <w:vAlign w:val="center"/>
          </w:tcPr>
          <w:p>
            <w:pPr>
              <w:pStyle w:val="36"/>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1</w:t>
            </w:r>
          </w:p>
        </w:tc>
        <w:tc>
          <w:tcPr>
            <w:tcW w:w="1019" w:type="pct"/>
            <w:vAlign w:val="center"/>
          </w:tcPr>
          <w:p>
            <w:pPr>
              <w:pStyle w:val="36"/>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服务期</w:t>
            </w:r>
          </w:p>
        </w:tc>
        <w:tc>
          <w:tcPr>
            <w:tcW w:w="3665" w:type="pct"/>
            <w:vAlign w:val="center"/>
          </w:tcPr>
          <w:p>
            <w:pPr>
              <w:pStyle w:val="36"/>
              <w:spacing w:line="300" w:lineRule="auto"/>
              <w:ind w:left="210" w:leftChars="10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采购合同签订</w:t>
            </w:r>
            <w:r>
              <w:rPr>
                <w:rFonts w:hint="eastAsia" w:ascii="Times New Roman" w:hAnsi="Times New Roman" w:eastAsia="仿宋" w:cs="Times New Roman"/>
                <w:sz w:val="22"/>
                <w:szCs w:val="22"/>
                <w:lang w:val="zh-CN"/>
              </w:rPr>
              <w:t>之日起</w:t>
            </w:r>
            <w:r>
              <w:rPr>
                <w:rFonts w:ascii="Times New Roman" w:hAnsi="Times New Roman" w:eastAsia="仿宋" w:cs="Times New Roman"/>
                <w:sz w:val="22"/>
                <w:szCs w:val="22"/>
              </w:rPr>
              <w:t>1</w:t>
            </w:r>
            <w:r>
              <w:rPr>
                <w:rFonts w:hint="eastAsia" w:ascii="Times New Roman" w:hAnsi="Times New Roman" w:eastAsia="仿宋" w:cs="Times New Roman"/>
                <w:sz w:val="22"/>
                <w:szCs w:val="22"/>
                <w:lang w:val="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5" w:hRule="atLeast"/>
          <w:jc w:val="center"/>
        </w:trPr>
        <w:tc>
          <w:tcPr>
            <w:tcW w:w="314" w:type="pct"/>
            <w:vAlign w:val="center"/>
          </w:tcPr>
          <w:p>
            <w:pPr>
              <w:pStyle w:val="36"/>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2</w:t>
            </w:r>
          </w:p>
        </w:tc>
        <w:tc>
          <w:tcPr>
            <w:tcW w:w="1019" w:type="pct"/>
            <w:vAlign w:val="center"/>
          </w:tcPr>
          <w:p>
            <w:pPr>
              <w:pStyle w:val="36"/>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服务</w:t>
            </w:r>
            <w:r>
              <w:rPr>
                <w:rFonts w:ascii="Times New Roman" w:hAnsi="Times New Roman" w:eastAsia="仿宋" w:cs="Times New Roman"/>
                <w:sz w:val="22"/>
                <w:szCs w:val="22"/>
                <w:lang w:val="zh-CN"/>
              </w:rPr>
              <w:t>地点</w:t>
            </w:r>
          </w:p>
        </w:tc>
        <w:tc>
          <w:tcPr>
            <w:tcW w:w="3665" w:type="pct"/>
            <w:vAlign w:val="center"/>
          </w:tcPr>
          <w:p>
            <w:pPr>
              <w:pStyle w:val="36"/>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5" w:hRule="atLeast"/>
          <w:jc w:val="center"/>
        </w:trPr>
        <w:tc>
          <w:tcPr>
            <w:tcW w:w="314" w:type="pct"/>
            <w:vAlign w:val="center"/>
          </w:tcPr>
          <w:p>
            <w:pPr>
              <w:pStyle w:val="36"/>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3</w:t>
            </w:r>
          </w:p>
        </w:tc>
        <w:tc>
          <w:tcPr>
            <w:tcW w:w="1019" w:type="pct"/>
            <w:vAlign w:val="center"/>
          </w:tcPr>
          <w:p>
            <w:pPr>
              <w:pStyle w:val="36"/>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报价</w:t>
            </w:r>
          </w:p>
        </w:tc>
        <w:tc>
          <w:tcPr>
            <w:tcW w:w="3665" w:type="pct"/>
            <w:vAlign w:val="center"/>
          </w:tcPr>
          <w:p>
            <w:pPr>
              <w:pStyle w:val="36"/>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报价应是完成本项目所有采购内容和比选文件规定的其它全部费用，最终用户验收合格后的总价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8" w:hRule="atLeast"/>
          <w:jc w:val="center"/>
        </w:trPr>
        <w:tc>
          <w:tcPr>
            <w:tcW w:w="314" w:type="pct"/>
            <w:vAlign w:val="center"/>
          </w:tcPr>
          <w:p>
            <w:pPr>
              <w:pStyle w:val="36"/>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4</w:t>
            </w:r>
          </w:p>
        </w:tc>
        <w:tc>
          <w:tcPr>
            <w:tcW w:w="1019" w:type="pct"/>
            <w:vAlign w:val="center"/>
          </w:tcPr>
          <w:p>
            <w:pPr>
              <w:pStyle w:val="36"/>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合同价款支付</w:t>
            </w:r>
          </w:p>
        </w:tc>
        <w:tc>
          <w:tcPr>
            <w:tcW w:w="3665" w:type="pct"/>
            <w:vAlign w:val="center"/>
          </w:tcPr>
          <w:p>
            <w:pPr>
              <w:pStyle w:val="36"/>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固定综合单价，详见投标文件《分项报价明细表》（按实际产生的维修费用结算）：每项维修完工后按甲方审核标准的维修方案及甲方代表现场签证单确认工作量；维修款每半年结算并付款一次。《分项报价明细表》之报价已包含税金、管理费、措施费、人料机等全部费用，除报价外，甲方不另行支付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36"/>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5</w:t>
            </w:r>
          </w:p>
        </w:tc>
        <w:tc>
          <w:tcPr>
            <w:tcW w:w="1762" w:type="dxa"/>
            <w:vAlign w:val="center"/>
          </w:tcPr>
          <w:p>
            <w:pPr>
              <w:pStyle w:val="36"/>
              <w:spacing w:line="300" w:lineRule="auto"/>
              <w:jc w:val="center"/>
              <w:rPr>
                <w:rFonts w:ascii="Times New Roman" w:hAnsi="Times New Roman" w:eastAsia="仿宋" w:cs="Times New Roman"/>
                <w:sz w:val="22"/>
                <w:szCs w:val="22"/>
                <w:highlight w:val="yellow"/>
                <w:lang w:val="zh-CN"/>
              </w:rPr>
            </w:pPr>
            <w:r>
              <w:rPr>
                <w:rFonts w:hint="eastAsia" w:ascii="Times New Roman" w:hAnsi="Times New Roman" w:eastAsia="仿宋" w:cs="Times New Roman"/>
                <w:sz w:val="22"/>
                <w:szCs w:val="22"/>
                <w:highlight w:val="none"/>
                <w:lang w:val="zh-CN"/>
              </w:rPr>
              <w:t>履约验收</w:t>
            </w:r>
          </w:p>
        </w:tc>
        <w:tc>
          <w:tcPr>
            <w:tcW w:w="6338" w:type="dxa"/>
            <w:vAlign w:val="center"/>
          </w:tcPr>
          <w:p>
            <w:pPr>
              <w:pStyle w:val="36"/>
              <w:spacing w:line="300" w:lineRule="auto"/>
              <w:ind w:left="210" w:leftChars="100"/>
              <w:jc w:val="both"/>
              <w:rPr>
                <w:rFonts w:ascii="Times New Roman" w:hAnsi="Times New Roman" w:eastAsia="仿宋" w:cs="Times New Roman"/>
                <w:sz w:val="22"/>
                <w:szCs w:val="22"/>
                <w:highlight w:val="yellow"/>
              </w:rPr>
            </w:pPr>
            <w:r>
              <w:rPr>
                <w:rFonts w:hint="eastAsia" w:ascii="Times New Roman" w:hAnsi="Times New Roman" w:eastAsia="仿宋" w:cs="Times New Roman"/>
                <w:sz w:val="22"/>
                <w:szCs w:val="22"/>
                <w:highlight w:val="none"/>
              </w:rPr>
              <w:t>参照《财政部关于进一步加强政府采购需求和履约验收管理的指导意见》（财库〔2016〕205号）、《政府采购需求管理办法》（财库〔2021〕22号）的要求进行验收。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36"/>
              <w:spacing w:line="300" w:lineRule="auto"/>
              <w:jc w:val="center"/>
              <w:rPr>
                <w:rFonts w:ascii="Times New Roman" w:hAnsi="Times New Roman" w:eastAsia="仿宋" w:cs="Times New Roman"/>
                <w:sz w:val="22"/>
                <w:szCs w:val="22"/>
              </w:rPr>
            </w:pPr>
            <w:bookmarkStart w:id="27" w:name="_Toc28829"/>
            <w:bookmarkStart w:id="28" w:name="_Toc32743"/>
            <w:r>
              <w:rPr>
                <w:rFonts w:ascii="Times New Roman" w:hAnsi="Times New Roman" w:eastAsia="仿宋" w:cs="Times New Roman"/>
                <w:sz w:val="22"/>
                <w:szCs w:val="22"/>
              </w:rPr>
              <w:t>6</w:t>
            </w:r>
          </w:p>
        </w:tc>
        <w:tc>
          <w:tcPr>
            <w:tcW w:w="1762" w:type="dxa"/>
            <w:vAlign w:val="center"/>
          </w:tcPr>
          <w:p>
            <w:pPr>
              <w:pStyle w:val="36"/>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质保期限</w:t>
            </w:r>
          </w:p>
        </w:tc>
        <w:tc>
          <w:tcPr>
            <w:tcW w:w="6338" w:type="dxa"/>
            <w:vAlign w:val="center"/>
          </w:tcPr>
          <w:p>
            <w:pPr>
              <w:pStyle w:val="36"/>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竣工验收合格后12个月。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36"/>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7</w:t>
            </w:r>
          </w:p>
        </w:tc>
        <w:tc>
          <w:tcPr>
            <w:tcW w:w="1762" w:type="dxa"/>
            <w:vAlign w:val="center"/>
          </w:tcPr>
          <w:p>
            <w:pPr>
              <w:pStyle w:val="36"/>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报价说明</w:t>
            </w:r>
          </w:p>
        </w:tc>
        <w:tc>
          <w:tcPr>
            <w:tcW w:w="6338" w:type="dxa"/>
            <w:vAlign w:val="center"/>
          </w:tcPr>
          <w:p>
            <w:pPr>
              <w:spacing w:line="360" w:lineRule="auto"/>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（1）本项目采用固定综合单价，需按项提供分项报价。</w:t>
            </w:r>
          </w:p>
          <w:p>
            <w:pPr>
              <w:spacing w:line="360" w:lineRule="auto"/>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lang w:val="zh-CN"/>
              </w:rPr>
              <w:t>2</w:t>
            </w:r>
            <w:r>
              <w:rPr>
                <w:rFonts w:hint="eastAsia" w:ascii="Times New Roman" w:hAnsi="Times New Roman" w:eastAsia="仿宋" w:cs="Times New Roman"/>
                <w:kern w:val="0"/>
                <w:sz w:val="22"/>
                <w:lang w:val="zh-CN"/>
              </w:rPr>
              <w:t>）供应商承担的家具维修质量未达到合同约定的标准应承担的违约责任：未达质量标准的，供应商进行返工、整改，至直达到标准，造成的经济损失供应商自行承担。两次返工、整改仍不能达到质量验收规范要求标准的，采购人有权拒绝支付该项目费用，且在结算中不予计取。</w:t>
            </w:r>
          </w:p>
        </w:tc>
      </w:tr>
      <w:bookmarkEnd w:id="27"/>
      <w:bookmarkEnd w:id="28"/>
    </w:tbl>
    <w:p>
      <w:pPr>
        <w:pStyle w:val="2"/>
        <w:rPr>
          <w:lang w:val="zh-CN"/>
        </w:rPr>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5"/>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9"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9"/>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20"/>
        <w:tblW w:w="8667" w:type="dxa"/>
        <w:jc w:val="center"/>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1243"/>
        <w:gridCol w:w="476"/>
        <w:gridCol w:w="5474"/>
        <w:gridCol w:w="961"/>
      </w:tblGrid>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tcPr>
          <w:p>
            <w:pPr>
              <w:pStyle w:val="48"/>
              <w:ind w:left="164"/>
              <w:rPr>
                <w:rFonts w:cstheme="minorBidi"/>
                <w:kern w:val="2"/>
                <w:sz w:val="24"/>
                <w:szCs w:val="24"/>
                <w:lang w:val="en-US" w:bidi="ar-SA"/>
              </w:rPr>
            </w:pPr>
            <w:r>
              <w:rPr>
                <w:rFonts w:hint="eastAsia" w:cstheme="minorBidi"/>
                <w:kern w:val="2"/>
                <w:sz w:val="24"/>
                <w:szCs w:val="24"/>
                <w:lang w:val="en-US" w:bidi="ar-SA"/>
              </w:rPr>
              <w:t>序</w:t>
            </w:r>
          </w:p>
          <w:p>
            <w:pPr>
              <w:pStyle w:val="48"/>
              <w:ind w:left="169"/>
              <w:rPr>
                <w:rFonts w:cstheme="minorBidi"/>
                <w:kern w:val="2"/>
                <w:sz w:val="24"/>
                <w:szCs w:val="24"/>
                <w:lang w:val="en-US" w:bidi="ar-SA"/>
              </w:rPr>
            </w:pPr>
            <w:r>
              <w:rPr>
                <w:rFonts w:hint="eastAsia" w:cstheme="minorBidi"/>
                <w:kern w:val="2"/>
                <w:sz w:val="24"/>
                <w:szCs w:val="24"/>
                <w:lang w:val="en-US" w:bidi="ar-SA"/>
              </w:rPr>
              <w:t>号</w:t>
            </w:r>
          </w:p>
        </w:tc>
        <w:tc>
          <w:tcPr>
            <w:tcW w:w="1243" w:type="dxa"/>
          </w:tcPr>
          <w:p>
            <w:pPr>
              <w:pStyle w:val="48"/>
              <w:ind w:left="234"/>
              <w:rPr>
                <w:rFonts w:cstheme="minorBidi"/>
                <w:kern w:val="2"/>
                <w:sz w:val="24"/>
                <w:szCs w:val="24"/>
                <w:lang w:val="en-US" w:bidi="ar-SA"/>
              </w:rPr>
            </w:pPr>
            <w:r>
              <w:rPr>
                <w:rFonts w:hint="eastAsia" w:cstheme="minorBidi"/>
                <w:kern w:val="2"/>
                <w:sz w:val="24"/>
                <w:szCs w:val="24"/>
                <w:lang w:val="en-US" w:bidi="ar-SA"/>
              </w:rPr>
              <w:t>评分因素</w:t>
            </w:r>
          </w:p>
          <w:p>
            <w:pPr>
              <w:pStyle w:val="48"/>
              <w:ind w:left="340"/>
              <w:rPr>
                <w:rFonts w:cstheme="minorBidi"/>
                <w:kern w:val="2"/>
                <w:sz w:val="24"/>
                <w:szCs w:val="24"/>
                <w:lang w:val="en-US" w:bidi="ar-SA"/>
              </w:rPr>
            </w:pPr>
            <w:r>
              <w:rPr>
                <w:rFonts w:hint="eastAsia" w:cstheme="minorBidi"/>
                <w:kern w:val="2"/>
                <w:sz w:val="24"/>
                <w:szCs w:val="24"/>
                <w:lang w:val="en-US" w:bidi="ar-SA"/>
              </w:rPr>
              <w:t>及权重</w:t>
            </w:r>
          </w:p>
        </w:tc>
        <w:tc>
          <w:tcPr>
            <w:tcW w:w="476" w:type="dxa"/>
          </w:tcPr>
          <w:p>
            <w:pPr>
              <w:pStyle w:val="48"/>
              <w:ind w:left="106"/>
              <w:rPr>
                <w:rFonts w:cstheme="minorBidi"/>
                <w:kern w:val="2"/>
                <w:sz w:val="24"/>
                <w:szCs w:val="24"/>
                <w:lang w:val="en-US" w:bidi="ar-SA"/>
              </w:rPr>
            </w:pPr>
            <w:r>
              <w:rPr>
                <w:rFonts w:hint="eastAsia" w:cstheme="minorBidi"/>
                <w:kern w:val="2"/>
                <w:sz w:val="24"/>
                <w:szCs w:val="24"/>
                <w:lang w:val="en-US" w:bidi="ar-SA"/>
              </w:rPr>
              <w:t>分</w:t>
            </w:r>
          </w:p>
          <w:p>
            <w:pPr>
              <w:pStyle w:val="48"/>
              <w:ind w:left="106"/>
              <w:rPr>
                <w:rFonts w:cstheme="minorBidi"/>
                <w:kern w:val="2"/>
                <w:sz w:val="24"/>
                <w:szCs w:val="24"/>
                <w:lang w:val="en-US" w:bidi="ar-SA"/>
              </w:rPr>
            </w:pPr>
            <w:r>
              <w:rPr>
                <w:rFonts w:hint="eastAsia" w:cstheme="minorBidi"/>
                <w:kern w:val="2"/>
                <w:sz w:val="24"/>
                <w:szCs w:val="24"/>
                <w:lang w:val="en-US" w:bidi="ar-SA"/>
              </w:rPr>
              <w:t>值</w:t>
            </w:r>
          </w:p>
        </w:tc>
        <w:tc>
          <w:tcPr>
            <w:tcW w:w="5474" w:type="dxa"/>
          </w:tcPr>
          <w:p>
            <w:pPr>
              <w:pStyle w:val="48"/>
              <w:ind w:right="2565"/>
              <w:jc w:val="center"/>
              <w:rPr>
                <w:rFonts w:cstheme="minorBidi"/>
                <w:kern w:val="2"/>
                <w:sz w:val="24"/>
                <w:szCs w:val="24"/>
                <w:lang w:val="en-US" w:bidi="ar-SA"/>
              </w:rPr>
            </w:pPr>
            <w:r>
              <w:rPr>
                <w:rFonts w:hint="eastAsia" w:cstheme="minorBidi"/>
                <w:kern w:val="2"/>
                <w:sz w:val="24"/>
                <w:szCs w:val="24"/>
                <w:lang w:val="en-US" w:bidi="ar-SA"/>
              </w:rPr>
              <w:t xml:space="preserve"> </w:t>
            </w:r>
            <w:r>
              <w:rPr>
                <w:rFonts w:cstheme="minorBidi"/>
                <w:kern w:val="2"/>
                <w:sz w:val="24"/>
                <w:szCs w:val="24"/>
                <w:lang w:val="en-US" w:bidi="ar-SA"/>
              </w:rPr>
              <w:t xml:space="preserve">               </w:t>
            </w:r>
            <w:r>
              <w:rPr>
                <w:rFonts w:hint="eastAsia" w:cstheme="minorBidi"/>
                <w:kern w:val="2"/>
                <w:sz w:val="24"/>
                <w:szCs w:val="24"/>
                <w:lang w:val="en-US" w:bidi="ar-SA"/>
              </w:rPr>
              <w:t>评分标准</w:t>
            </w:r>
          </w:p>
        </w:tc>
        <w:tc>
          <w:tcPr>
            <w:tcW w:w="961" w:type="dxa"/>
          </w:tcPr>
          <w:p>
            <w:pPr>
              <w:pStyle w:val="48"/>
              <w:ind w:left="302"/>
              <w:rPr>
                <w:rFonts w:cstheme="minorBidi"/>
                <w:kern w:val="2"/>
                <w:sz w:val="24"/>
                <w:szCs w:val="24"/>
                <w:lang w:val="en-US" w:bidi="ar-SA"/>
              </w:rPr>
            </w:pPr>
            <w:r>
              <w:rPr>
                <w:rFonts w:hint="eastAsia" w:cstheme="minorBidi"/>
                <w:kern w:val="2"/>
                <w:sz w:val="24"/>
                <w:szCs w:val="24"/>
                <w:lang w:val="en-US" w:bidi="ar-SA"/>
              </w:rPr>
              <w:t>说明</w:t>
            </w: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Align w:val="center"/>
          </w:tcPr>
          <w:p>
            <w:pPr>
              <w:pStyle w:val="48"/>
              <w:ind w:left="8"/>
              <w:jc w:val="center"/>
              <w:rPr>
                <w:rFonts w:cstheme="minorBidi"/>
                <w:kern w:val="2"/>
                <w:sz w:val="24"/>
                <w:szCs w:val="24"/>
                <w:lang w:val="en-US" w:bidi="ar-SA"/>
              </w:rPr>
            </w:pPr>
            <w:r>
              <w:rPr>
                <w:rFonts w:hint="eastAsia" w:cstheme="minorBidi"/>
                <w:kern w:val="2"/>
                <w:sz w:val="24"/>
                <w:szCs w:val="24"/>
                <w:lang w:val="en-US" w:bidi="ar-SA"/>
              </w:rPr>
              <w:t>1</w:t>
            </w:r>
          </w:p>
        </w:tc>
        <w:tc>
          <w:tcPr>
            <w:tcW w:w="1243" w:type="dxa"/>
            <w:vAlign w:val="center"/>
          </w:tcPr>
          <w:p>
            <w:pPr>
              <w:pStyle w:val="48"/>
              <w:ind w:left="251"/>
              <w:rPr>
                <w:rFonts w:cstheme="minorBidi"/>
                <w:kern w:val="2"/>
                <w:sz w:val="24"/>
                <w:szCs w:val="24"/>
                <w:lang w:val="en-US" w:bidi="ar-SA"/>
              </w:rPr>
            </w:pPr>
            <w:r>
              <w:rPr>
                <w:rFonts w:hint="eastAsia" w:cstheme="minorBidi"/>
                <w:kern w:val="2"/>
                <w:sz w:val="24"/>
                <w:szCs w:val="24"/>
                <w:lang w:val="en-US" w:bidi="ar-SA"/>
              </w:rPr>
              <w:t>报价</w:t>
            </w:r>
            <w:r>
              <w:rPr>
                <w:rFonts w:cstheme="minorBidi"/>
                <w:kern w:val="2"/>
                <w:sz w:val="24"/>
                <w:szCs w:val="24"/>
                <w:lang w:val="en-US" w:bidi="ar-SA"/>
              </w:rPr>
              <w:t>30</w:t>
            </w:r>
          </w:p>
        </w:tc>
        <w:tc>
          <w:tcPr>
            <w:tcW w:w="476" w:type="dxa"/>
            <w:vAlign w:val="center"/>
          </w:tcPr>
          <w:p>
            <w:pPr>
              <w:pStyle w:val="48"/>
              <w:jc w:val="center"/>
              <w:rPr>
                <w:rFonts w:cstheme="minorBidi"/>
                <w:kern w:val="2"/>
                <w:sz w:val="24"/>
                <w:szCs w:val="24"/>
                <w:lang w:val="en-US" w:bidi="ar-SA"/>
              </w:rPr>
            </w:pPr>
            <w:r>
              <w:rPr>
                <w:rFonts w:cstheme="minorBidi"/>
                <w:kern w:val="2"/>
                <w:sz w:val="24"/>
                <w:szCs w:val="24"/>
                <w:lang w:val="en-US" w:bidi="ar-SA"/>
              </w:rPr>
              <w:t>30</w:t>
            </w:r>
            <w:r>
              <w:rPr>
                <w:rFonts w:hint="eastAsia" w:cstheme="minorBidi"/>
                <w:kern w:val="2"/>
                <w:sz w:val="24"/>
                <w:szCs w:val="24"/>
                <w:lang w:val="en-US" w:bidi="ar-SA"/>
              </w:rPr>
              <w:t>分</w:t>
            </w:r>
          </w:p>
        </w:tc>
        <w:tc>
          <w:tcPr>
            <w:tcW w:w="5474" w:type="dxa"/>
          </w:tcPr>
          <w:p>
            <w:pPr>
              <w:pStyle w:val="48"/>
              <w:rPr>
                <w:rFonts w:cstheme="minorBidi"/>
                <w:kern w:val="2"/>
                <w:sz w:val="24"/>
                <w:szCs w:val="24"/>
                <w:lang w:val="en-US" w:bidi="ar-SA"/>
              </w:rPr>
            </w:pPr>
            <w:r>
              <w:rPr>
                <w:rFonts w:hint="eastAsia" w:cstheme="minorBidi"/>
                <w:kern w:val="2"/>
                <w:sz w:val="24"/>
                <w:szCs w:val="24"/>
                <w:lang w:val="en-US" w:bidi="ar-SA"/>
              </w:rPr>
              <w:t>满足招标文件要求且价格最低的报价为投标基准价，其价格分为满分。其他有效供应商的价格分统一按照下列公式计算：磋商报价得分=(投标基准价／投标报价) *</w:t>
            </w:r>
            <w:r>
              <w:rPr>
                <w:rFonts w:cstheme="minorBidi"/>
                <w:kern w:val="2"/>
                <w:sz w:val="24"/>
                <w:szCs w:val="24"/>
                <w:lang w:val="en-US" w:bidi="ar-SA"/>
              </w:rPr>
              <w:t>30</w:t>
            </w:r>
            <w:r>
              <w:rPr>
                <w:rFonts w:hint="eastAsia" w:cstheme="minorBidi"/>
                <w:kern w:val="2"/>
                <w:sz w:val="24"/>
                <w:szCs w:val="24"/>
                <w:lang w:val="en-US" w:bidi="ar-SA"/>
              </w:rPr>
              <w:t>。</w:t>
            </w:r>
          </w:p>
        </w:tc>
        <w:tc>
          <w:tcPr>
            <w:tcW w:w="961" w:type="dxa"/>
          </w:tcPr>
          <w:p>
            <w:pPr>
              <w:pStyle w:val="48"/>
              <w:ind w:left="182" w:right="171"/>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Merge w:val="restart"/>
            <w:vAlign w:val="center"/>
          </w:tcPr>
          <w:p>
            <w:pPr>
              <w:pStyle w:val="48"/>
              <w:ind w:left="8"/>
              <w:jc w:val="center"/>
              <w:rPr>
                <w:rFonts w:cstheme="minorBidi"/>
                <w:kern w:val="2"/>
                <w:sz w:val="24"/>
                <w:szCs w:val="24"/>
                <w:lang w:val="en-US" w:bidi="ar-SA"/>
              </w:rPr>
            </w:pPr>
            <w:r>
              <w:rPr>
                <w:rFonts w:hint="eastAsia" w:cstheme="minorBidi"/>
                <w:kern w:val="2"/>
                <w:sz w:val="24"/>
                <w:szCs w:val="24"/>
                <w:lang w:val="en-US" w:bidi="ar-SA"/>
              </w:rPr>
              <w:t>2</w:t>
            </w:r>
          </w:p>
        </w:tc>
        <w:tc>
          <w:tcPr>
            <w:tcW w:w="1243" w:type="dxa"/>
            <w:vMerge w:val="restart"/>
            <w:vAlign w:val="center"/>
          </w:tcPr>
          <w:p>
            <w:pPr>
              <w:pStyle w:val="48"/>
              <w:ind w:left="107"/>
              <w:rPr>
                <w:rFonts w:cstheme="minorBidi"/>
                <w:kern w:val="2"/>
                <w:sz w:val="24"/>
                <w:szCs w:val="24"/>
                <w:lang w:val="en-US" w:bidi="ar-SA"/>
              </w:rPr>
            </w:pPr>
            <w:r>
              <w:rPr>
                <w:rFonts w:hint="eastAsia" w:cstheme="minorBidi"/>
                <w:kern w:val="2"/>
                <w:sz w:val="24"/>
                <w:szCs w:val="24"/>
                <w:lang w:val="en-US" w:bidi="ar-SA"/>
              </w:rPr>
              <w:t>技术服务</w:t>
            </w:r>
          </w:p>
          <w:p>
            <w:pPr>
              <w:pStyle w:val="48"/>
              <w:ind w:left="107"/>
              <w:rPr>
                <w:rFonts w:cstheme="minorBidi"/>
                <w:kern w:val="2"/>
                <w:sz w:val="24"/>
                <w:szCs w:val="24"/>
                <w:lang w:val="en-US" w:bidi="ar-SA"/>
              </w:rPr>
            </w:pPr>
            <w:r>
              <w:rPr>
                <w:rFonts w:hint="eastAsia" w:cstheme="minorBidi"/>
                <w:kern w:val="2"/>
                <w:sz w:val="24"/>
                <w:szCs w:val="24"/>
                <w:lang w:val="en-US" w:bidi="ar-SA"/>
              </w:rPr>
              <w:t>方案</w:t>
            </w:r>
          </w:p>
        </w:tc>
        <w:tc>
          <w:tcPr>
            <w:tcW w:w="476" w:type="dxa"/>
            <w:vMerge w:val="restart"/>
            <w:vAlign w:val="center"/>
          </w:tcPr>
          <w:p>
            <w:pPr>
              <w:pStyle w:val="48"/>
              <w:ind w:left="107"/>
              <w:rPr>
                <w:rFonts w:cstheme="minorBidi"/>
                <w:kern w:val="2"/>
                <w:sz w:val="24"/>
                <w:szCs w:val="24"/>
                <w:lang w:val="en-US" w:bidi="ar-SA"/>
              </w:rPr>
            </w:pPr>
            <w:r>
              <w:rPr>
                <w:rFonts w:cstheme="minorBidi"/>
                <w:kern w:val="2"/>
                <w:sz w:val="24"/>
                <w:szCs w:val="24"/>
                <w:lang w:val="en-US" w:bidi="ar-SA"/>
              </w:rPr>
              <w:t>45</w:t>
            </w:r>
            <w:r>
              <w:rPr>
                <w:rFonts w:hint="eastAsia" w:cstheme="minorBidi"/>
                <w:kern w:val="2"/>
                <w:sz w:val="24"/>
                <w:szCs w:val="24"/>
                <w:lang w:val="en-US" w:bidi="ar-SA"/>
              </w:rPr>
              <w:t>分</w:t>
            </w:r>
          </w:p>
        </w:tc>
        <w:tc>
          <w:tcPr>
            <w:tcW w:w="5474" w:type="dxa"/>
            <w:vAlign w:val="center"/>
          </w:tcPr>
          <w:p>
            <w:pPr>
              <w:pStyle w:val="48"/>
              <w:rPr>
                <w:rFonts w:cstheme="minorBidi"/>
                <w:kern w:val="2"/>
                <w:sz w:val="24"/>
                <w:szCs w:val="24"/>
                <w:lang w:val="en-US" w:bidi="ar-SA"/>
              </w:rPr>
            </w:pPr>
            <w:r>
              <w:rPr>
                <w:rFonts w:hint="eastAsia" w:cstheme="minorBidi"/>
                <w:kern w:val="2"/>
                <w:sz w:val="24"/>
                <w:szCs w:val="24"/>
                <w:lang w:val="en-US" w:bidi="ar-SA"/>
              </w:rPr>
              <w:t>根据供应商针对本项目提供的维修施工方案与技术措施进行评审：</w:t>
            </w:r>
          </w:p>
          <w:p>
            <w:pPr>
              <w:pStyle w:val="48"/>
              <w:ind w:left="107"/>
              <w:rPr>
                <w:rFonts w:cstheme="minorBidi"/>
                <w:kern w:val="2"/>
                <w:sz w:val="24"/>
                <w:szCs w:val="24"/>
                <w:lang w:val="en-US" w:bidi="ar-SA"/>
              </w:rPr>
            </w:pPr>
            <w:r>
              <w:rPr>
                <w:rFonts w:hint="eastAsia" w:cstheme="minorBidi"/>
                <w:kern w:val="2"/>
                <w:sz w:val="24"/>
                <w:szCs w:val="24"/>
                <w:lang w:val="en-US" w:bidi="ar-SA"/>
              </w:rPr>
              <w:t>①维修施工组织方案；（5分）</w:t>
            </w:r>
          </w:p>
          <w:p>
            <w:pPr>
              <w:pStyle w:val="48"/>
              <w:ind w:left="107"/>
              <w:rPr>
                <w:rFonts w:cstheme="minorBidi"/>
                <w:kern w:val="2"/>
                <w:sz w:val="24"/>
                <w:szCs w:val="24"/>
                <w:lang w:val="en-US" w:bidi="ar-SA"/>
              </w:rPr>
            </w:pPr>
            <w:r>
              <w:rPr>
                <w:rFonts w:hint="eastAsia" w:cstheme="minorBidi"/>
                <w:kern w:val="2"/>
                <w:sz w:val="24"/>
                <w:szCs w:val="24"/>
                <w:lang w:val="en-US" w:bidi="ar-SA"/>
              </w:rPr>
              <w:t>②技术保证措施方案；（5分）</w:t>
            </w:r>
          </w:p>
          <w:p>
            <w:pPr>
              <w:pStyle w:val="48"/>
              <w:ind w:left="107"/>
              <w:rPr>
                <w:rFonts w:cstheme="minorBidi"/>
                <w:kern w:val="2"/>
                <w:sz w:val="24"/>
                <w:szCs w:val="24"/>
                <w:lang w:val="en-US" w:bidi="ar-SA"/>
              </w:rPr>
            </w:pPr>
            <w:r>
              <w:rPr>
                <w:rFonts w:hint="eastAsia" w:cstheme="minorBidi"/>
                <w:kern w:val="2"/>
                <w:sz w:val="24"/>
                <w:szCs w:val="24"/>
                <w:lang w:val="en-US" w:bidi="ar-SA"/>
              </w:rPr>
              <w:t>③项目部的协调措施；（3分）</w:t>
            </w:r>
          </w:p>
          <w:p>
            <w:pPr>
              <w:pStyle w:val="48"/>
              <w:ind w:left="107"/>
              <w:rPr>
                <w:rFonts w:cstheme="minorBidi"/>
                <w:kern w:val="2"/>
                <w:sz w:val="24"/>
                <w:szCs w:val="24"/>
                <w:lang w:val="en-US" w:bidi="ar-SA"/>
              </w:rPr>
            </w:pPr>
            <w:r>
              <w:rPr>
                <w:rFonts w:hint="eastAsia" w:cstheme="minorBidi"/>
                <w:kern w:val="2"/>
                <w:sz w:val="24"/>
                <w:szCs w:val="24"/>
                <w:lang w:val="en-US" w:bidi="ar-SA"/>
              </w:rPr>
              <w:t>④维修施工过程中的重难点分析；（3分）</w:t>
            </w:r>
          </w:p>
          <w:p>
            <w:pPr>
              <w:pStyle w:val="48"/>
              <w:ind w:left="107"/>
              <w:rPr>
                <w:rFonts w:cstheme="minorBidi"/>
                <w:kern w:val="2"/>
                <w:sz w:val="24"/>
                <w:szCs w:val="24"/>
                <w:lang w:val="en-US" w:bidi="ar-SA"/>
              </w:rPr>
            </w:pPr>
            <w:r>
              <w:rPr>
                <w:rFonts w:hint="eastAsia" w:cstheme="minorBidi"/>
                <w:kern w:val="2"/>
                <w:sz w:val="24"/>
                <w:szCs w:val="24"/>
                <w:lang w:val="en-US" w:bidi="ar-SA"/>
              </w:rPr>
              <w:t>⑤劳动生产力计划；（1分）</w:t>
            </w:r>
          </w:p>
          <w:p>
            <w:pPr>
              <w:pStyle w:val="48"/>
              <w:ind w:left="107"/>
              <w:rPr>
                <w:rFonts w:cstheme="minorBidi"/>
                <w:kern w:val="2"/>
                <w:sz w:val="24"/>
                <w:szCs w:val="24"/>
                <w:lang w:val="en-US" w:bidi="ar-SA"/>
              </w:rPr>
            </w:pPr>
            <w:r>
              <w:rPr>
                <w:rFonts w:hint="eastAsia" w:cstheme="minorBidi"/>
                <w:kern w:val="2"/>
                <w:sz w:val="24"/>
                <w:szCs w:val="24"/>
                <w:lang w:val="en-US" w:bidi="ar-SA"/>
              </w:rPr>
              <w:t>⑥主要机械设备配备。（1分）</w:t>
            </w:r>
          </w:p>
          <w:p>
            <w:pPr>
              <w:pStyle w:val="48"/>
              <w:rPr>
                <w:rFonts w:cstheme="minorBidi"/>
                <w:kern w:val="2"/>
                <w:sz w:val="24"/>
                <w:szCs w:val="24"/>
                <w:lang w:val="en-US" w:bidi="ar-SA"/>
              </w:rPr>
            </w:pPr>
            <w:r>
              <w:rPr>
                <w:rFonts w:hint="eastAsia" w:cstheme="minorBidi"/>
                <w:kern w:val="2"/>
                <w:sz w:val="24"/>
                <w:szCs w:val="24"/>
                <w:lang w:val="en-US" w:bidi="ar-SA"/>
              </w:rPr>
              <w:t>各项内容为专门针对本项目编制，符合本项目实际情况，共计得分1</w:t>
            </w:r>
            <w:r>
              <w:rPr>
                <w:rFonts w:cstheme="minorBidi"/>
                <w:kern w:val="2"/>
                <w:sz w:val="24"/>
                <w:szCs w:val="24"/>
                <w:lang w:val="en-US" w:bidi="ar-SA"/>
              </w:rPr>
              <w:t>8</w:t>
            </w:r>
            <w:r>
              <w:rPr>
                <w:rFonts w:hint="eastAsia" w:cstheme="minorBidi"/>
                <w:kern w:val="2"/>
                <w:sz w:val="24"/>
                <w:szCs w:val="24"/>
                <w:lang w:val="en-US" w:bidi="ar-SA"/>
              </w:rPr>
              <w:t>分；每缺少一项内容或该项内容非专门针对本项目或内容不符合本项目实际情况的按要求扣分。</w:t>
            </w:r>
          </w:p>
        </w:tc>
        <w:tc>
          <w:tcPr>
            <w:tcW w:w="961" w:type="dxa"/>
          </w:tcPr>
          <w:p>
            <w:pPr>
              <w:pStyle w:val="48"/>
              <w:ind w:left="182" w:right="171"/>
              <w:jc w:val="center"/>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Merge w:val="continue"/>
            <w:vAlign w:val="center"/>
          </w:tcPr>
          <w:p>
            <w:pPr>
              <w:pStyle w:val="48"/>
              <w:ind w:left="8"/>
              <w:jc w:val="center"/>
              <w:rPr>
                <w:rFonts w:cstheme="minorBidi"/>
                <w:kern w:val="2"/>
                <w:sz w:val="24"/>
                <w:szCs w:val="24"/>
                <w:lang w:val="en-US" w:bidi="ar-SA"/>
              </w:rPr>
            </w:pPr>
          </w:p>
        </w:tc>
        <w:tc>
          <w:tcPr>
            <w:tcW w:w="1243" w:type="dxa"/>
            <w:vMerge w:val="continue"/>
            <w:vAlign w:val="center"/>
          </w:tcPr>
          <w:p>
            <w:pPr>
              <w:pStyle w:val="48"/>
              <w:ind w:left="107"/>
              <w:rPr>
                <w:rFonts w:cstheme="minorBidi"/>
                <w:kern w:val="2"/>
                <w:sz w:val="24"/>
                <w:szCs w:val="24"/>
                <w:lang w:val="en-US" w:bidi="ar-SA"/>
              </w:rPr>
            </w:pPr>
          </w:p>
        </w:tc>
        <w:tc>
          <w:tcPr>
            <w:tcW w:w="476" w:type="dxa"/>
            <w:vMerge w:val="continue"/>
            <w:vAlign w:val="center"/>
          </w:tcPr>
          <w:p>
            <w:pPr>
              <w:pStyle w:val="48"/>
              <w:ind w:left="107"/>
              <w:rPr>
                <w:rFonts w:cstheme="minorBidi"/>
                <w:kern w:val="2"/>
                <w:sz w:val="24"/>
                <w:szCs w:val="24"/>
                <w:lang w:val="en-US" w:bidi="ar-SA"/>
              </w:rPr>
            </w:pPr>
          </w:p>
        </w:tc>
        <w:tc>
          <w:tcPr>
            <w:tcW w:w="5474" w:type="dxa"/>
            <w:vAlign w:val="center"/>
          </w:tcPr>
          <w:p>
            <w:pPr>
              <w:pStyle w:val="48"/>
              <w:rPr>
                <w:rFonts w:cstheme="minorBidi"/>
                <w:kern w:val="2"/>
                <w:sz w:val="24"/>
                <w:szCs w:val="24"/>
                <w:lang w:val="en-US" w:bidi="ar-SA"/>
              </w:rPr>
            </w:pPr>
            <w:r>
              <w:rPr>
                <w:rFonts w:hint="eastAsia" w:cstheme="minorBidi"/>
                <w:kern w:val="2"/>
                <w:sz w:val="24"/>
                <w:szCs w:val="24"/>
                <w:lang w:val="en-US" w:bidi="ar-SA"/>
              </w:rPr>
              <w:t>根据供应商针对本项目提供的质量管理体系与措施进行评审：</w:t>
            </w:r>
          </w:p>
          <w:p>
            <w:pPr>
              <w:pStyle w:val="48"/>
              <w:rPr>
                <w:rFonts w:cstheme="minorBidi"/>
                <w:kern w:val="2"/>
                <w:sz w:val="24"/>
                <w:szCs w:val="24"/>
                <w:lang w:val="en-US" w:bidi="ar-SA"/>
              </w:rPr>
            </w:pPr>
            <w:r>
              <w:rPr>
                <w:rFonts w:hint="eastAsia" w:cstheme="minorBidi"/>
                <w:kern w:val="2"/>
                <w:sz w:val="24"/>
                <w:szCs w:val="24"/>
                <w:lang w:val="en-US" w:bidi="ar-SA"/>
              </w:rPr>
              <w:t>①质量管理组织体系；</w:t>
            </w:r>
          </w:p>
          <w:p>
            <w:pPr>
              <w:pStyle w:val="48"/>
              <w:rPr>
                <w:rFonts w:cstheme="minorBidi"/>
                <w:kern w:val="2"/>
                <w:sz w:val="24"/>
                <w:szCs w:val="24"/>
                <w:lang w:val="en-US" w:bidi="ar-SA"/>
              </w:rPr>
            </w:pPr>
            <w:r>
              <w:rPr>
                <w:rFonts w:hint="eastAsia" w:cstheme="minorBidi"/>
                <w:kern w:val="2"/>
                <w:sz w:val="24"/>
                <w:szCs w:val="24"/>
                <w:lang w:val="en-US" w:bidi="ar-SA"/>
              </w:rPr>
              <w:t>②材料质量检查制度；</w:t>
            </w:r>
          </w:p>
          <w:p>
            <w:pPr>
              <w:pStyle w:val="48"/>
              <w:rPr>
                <w:rFonts w:cstheme="minorBidi"/>
                <w:kern w:val="2"/>
                <w:sz w:val="24"/>
                <w:szCs w:val="24"/>
                <w:lang w:val="en-US" w:bidi="ar-SA"/>
              </w:rPr>
            </w:pPr>
            <w:r>
              <w:rPr>
                <w:rFonts w:hint="eastAsia" w:cstheme="minorBidi"/>
                <w:kern w:val="2"/>
                <w:sz w:val="24"/>
                <w:szCs w:val="24"/>
                <w:lang w:val="en-US" w:bidi="ar-SA"/>
              </w:rPr>
              <w:t>③维修施工质量的自查与改进制度。</w:t>
            </w:r>
          </w:p>
          <w:p>
            <w:pPr>
              <w:pStyle w:val="48"/>
              <w:rPr>
                <w:rFonts w:cstheme="minorBidi"/>
                <w:kern w:val="2"/>
                <w:sz w:val="24"/>
                <w:szCs w:val="24"/>
                <w:lang w:val="en-US" w:bidi="ar-SA"/>
              </w:rPr>
            </w:pPr>
            <w:r>
              <w:rPr>
                <w:rFonts w:hint="eastAsia" w:cstheme="minorBidi"/>
                <w:kern w:val="2"/>
                <w:sz w:val="24"/>
                <w:szCs w:val="24"/>
                <w:lang w:val="en-US" w:bidi="ar-SA"/>
              </w:rPr>
              <w:t>各项内容为专门针对本项目编制，符合本项目实际情况，能够保障项目顺利实施的得</w:t>
            </w:r>
            <w:r>
              <w:rPr>
                <w:rFonts w:cstheme="minorBidi"/>
                <w:kern w:val="2"/>
                <w:sz w:val="24"/>
                <w:szCs w:val="24"/>
                <w:lang w:val="en-US" w:bidi="ar-SA"/>
              </w:rPr>
              <w:t>9</w:t>
            </w:r>
            <w:r>
              <w:rPr>
                <w:rFonts w:hint="eastAsia" w:cstheme="minorBidi"/>
                <w:kern w:val="2"/>
                <w:sz w:val="24"/>
                <w:szCs w:val="24"/>
                <w:lang w:val="en-US" w:bidi="ar-SA"/>
              </w:rPr>
              <w:t>分；每缺少一项内容或该项内容非专门针对本项目或内容不符合本项目实际情况的，每有一项扣</w:t>
            </w:r>
            <w:r>
              <w:rPr>
                <w:rFonts w:cstheme="minorBidi"/>
                <w:kern w:val="2"/>
                <w:sz w:val="24"/>
                <w:szCs w:val="24"/>
                <w:lang w:val="en-US" w:bidi="ar-SA"/>
              </w:rPr>
              <w:t>3</w:t>
            </w:r>
            <w:r>
              <w:rPr>
                <w:rFonts w:hint="eastAsia" w:cstheme="minorBidi"/>
                <w:kern w:val="2"/>
                <w:sz w:val="24"/>
                <w:szCs w:val="24"/>
                <w:lang w:val="en-US" w:bidi="ar-SA"/>
              </w:rPr>
              <w:t>分，扣完为止。</w:t>
            </w:r>
          </w:p>
        </w:tc>
        <w:tc>
          <w:tcPr>
            <w:tcW w:w="961" w:type="dxa"/>
          </w:tcPr>
          <w:p>
            <w:pPr>
              <w:pStyle w:val="48"/>
              <w:ind w:left="182" w:right="171"/>
              <w:jc w:val="center"/>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Merge w:val="continue"/>
            <w:vAlign w:val="center"/>
          </w:tcPr>
          <w:p>
            <w:pPr>
              <w:pStyle w:val="48"/>
              <w:ind w:left="8"/>
              <w:jc w:val="center"/>
              <w:rPr>
                <w:rFonts w:cstheme="minorBidi"/>
                <w:kern w:val="2"/>
                <w:sz w:val="24"/>
                <w:szCs w:val="24"/>
                <w:lang w:val="en-US" w:bidi="ar-SA"/>
              </w:rPr>
            </w:pPr>
          </w:p>
        </w:tc>
        <w:tc>
          <w:tcPr>
            <w:tcW w:w="1243" w:type="dxa"/>
            <w:vMerge w:val="continue"/>
            <w:vAlign w:val="center"/>
          </w:tcPr>
          <w:p>
            <w:pPr>
              <w:pStyle w:val="48"/>
              <w:ind w:left="107"/>
              <w:rPr>
                <w:rFonts w:cstheme="minorBidi"/>
                <w:kern w:val="2"/>
                <w:sz w:val="24"/>
                <w:szCs w:val="24"/>
                <w:lang w:val="en-US" w:bidi="ar-SA"/>
              </w:rPr>
            </w:pPr>
          </w:p>
        </w:tc>
        <w:tc>
          <w:tcPr>
            <w:tcW w:w="476" w:type="dxa"/>
            <w:vMerge w:val="continue"/>
            <w:vAlign w:val="center"/>
          </w:tcPr>
          <w:p>
            <w:pPr>
              <w:pStyle w:val="48"/>
              <w:ind w:left="107"/>
              <w:rPr>
                <w:rFonts w:cstheme="minorBidi"/>
                <w:kern w:val="2"/>
                <w:sz w:val="24"/>
                <w:szCs w:val="24"/>
                <w:lang w:val="en-US" w:bidi="ar-SA"/>
              </w:rPr>
            </w:pPr>
          </w:p>
        </w:tc>
        <w:tc>
          <w:tcPr>
            <w:tcW w:w="5474" w:type="dxa"/>
            <w:vAlign w:val="center"/>
          </w:tcPr>
          <w:p>
            <w:pPr>
              <w:pStyle w:val="48"/>
              <w:rPr>
                <w:rFonts w:cstheme="minorBidi"/>
                <w:kern w:val="2"/>
                <w:sz w:val="24"/>
                <w:szCs w:val="24"/>
                <w:lang w:val="en-US" w:bidi="ar-SA"/>
              </w:rPr>
            </w:pPr>
            <w:r>
              <w:rPr>
                <w:rFonts w:hint="eastAsia" w:cstheme="minorBidi"/>
                <w:kern w:val="2"/>
                <w:sz w:val="24"/>
                <w:szCs w:val="24"/>
                <w:lang w:val="en-US" w:bidi="ar-SA"/>
              </w:rPr>
              <w:t>根据供应商针对本项目提供的安全文明施工管理体系与措施进行评审：</w:t>
            </w:r>
          </w:p>
          <w:p>
            <w:pPr>
              <w:pStyle w:val="48"/>
              <w:rPr>
                <w:rFonts w:cstheme="minorBidi"/>
                <w:kern w:val="2"/>
                <w:sz w:val="24"/>
                <w:szCs w:val="24"/>
                <w:lang w:val="en-US" w:bidi="ar-SA"/>
              </w:rPr>
            </w:pPr>
            <w:r>
              <w:rPr>
                <w:rFonts w:hint="eastAsia" w:cstheme="minorBidi"/>
                <w:kern w:val="2"/>
                <w:sz w:val="24"/>
                <w:szCs w:val="24"/>
                <w:lang w:val="en-US" w:bidi="ar-SA"/>
              </w:rPr>
              <w:t>①安全保证体系；</w:t>
            </w:r>
          </w:p>
          <w:p>
            <w:pPr>
              <w:pStyle w:val="48"/>
              <w:rPr>
                <w:rFonts w:cstheme="minorBidi"/>
                <w:kern w:val="2"/>
                <w:sz w:val="24"/>
                <w:szCs w:val="24"/>
                <w:lang w:val="en-US" w:bidi="ar-SA"/>
              </w:rPr>
            </w:pPr>
            <w:r>
              <w:rPr>
                <w:rFonts w:hint="eastAsia" w:cstheme="minorBidi"/>
                <w:kern w:val="2"/>
                <w:sz w:val="24"/>
                <w:szCs w:val="24"/>
                <w:lang w:val="en-US" w:bidi="ar-SA"/>
              </w:rPr>
              <w:t>②安全责任体系；</w:t>
            </w:r>
          </w:p>
          <w:p>
            <w:pPr>
              <w:pStyle w:val="48"/>
              <w:rPr>
                <w:rFonts w:cstheme="minorBidi"/>
                <w:kern w:val="2"/>
                <w:sz w:val="24"/>
                <w:szCs w:val="24"/>
                <w:lang w:val="en-US" w:bidi="ar-SA"/>
              </w:rPr>
            </w:pPr>
            <w:r>
              <w:rPr>
                <w:rFonts w:hint="eastAsia" w:cstheme="minorBidi"/>
                <w:kern w:val="2"/>
                <w:sz w:val="24"/>
                <w:szCs w:val="24"/>
                <w:lang w:val="en-US" w:bidi="ar-SA"/>
              </w:rPr>
              <w:t>③安全管理制度；</w:t>
            </w:r>
          </w:p>
          <w:p>
            <w:pPr>
              <w:pStyle w:val="48"/>
              <w:rPr>
                <w:rFonts w:cstheme="minorBidi"/>
                <w:kern w:val="2"/>
                <w:sz w:val="24"/>
                <w:szCs w:val="24"/>
                <w:lang w:val="en-US" w:bidi="ar-SA"/>
              </w:rPr>
            </w:pPr>
            <w:r>
              <w:rPr>
                <w:rFonts w:hint="eastAsia" w:cstheme="minorBidi"/>
                <w:kern w:val="2"/>
                <w:sz w:val="24"/>
                <w:szCs w:val="24"/>
                <w:lang w:val="en-US" w:bidi="ar-SA"/>
              </w:rPr>
              <w:t>④文明施工组织措施；</w:t>
            </w:r>
          </w:p>
          <w:p>
            <w:pPr>
              <w:pStyle w:val="48"/>
              <w:rPr>
                <w:rFonts w:cstheme="minorBidi"/>
                <w:kern w:val="2"/>
                <w:sz w:val="24"/>
                <w:szCs w:val="24"/>
                <w:lang w:val="en-US" w:bidi="ar-SA"/>
              </w:rPr>
            </w:pPr>
            <w:r>
              <w:rPr>
                <w:rFonts w:hint="eastAsia" w:cstheme="minorBidi"/>
                <w:kern w:val="2"/>
                <w:sz w:val="24"/>
                <w:szCs w:val="24"/>
                <w:lang w:val="en-US" w:bidi="ar-SA"/>
              </w:rPr>
              <w:t>⑤材料临时堆放与保护措施；</w:t>
            </w:r>
          </w:p>
          <w:p>
            <w:pPr>
              <w:pStyle w:val="48"/>
              <w:rPr>
                <w:rFonts w:cstheme="minorBidi"/>
                <w:kern w:val="2"/>
                <w:sz w:val="24"/>
                <w:szCs w:val="24"/>
                <w:lang w:val="en-US" w:bidi="ar-SA"/>
              </w:rPr>
            </w:pPr>
            <w:r>
              <w:rPr>
                <w:rFonts w:hint="eastAsia" w:cstheme="minorBidi"/>
                <w:kern w:val="2"/>
                <w:sz w:val="24"/>
                <w:szCs w:val="24"/>
                <w:lang w:val="en-US" w:bidi="ar-SA"/>
              </w:rPr>
              <w:t>⑥安全应急救援预案。</w:t>
            </w:r>
          </w:p>
          <w:p>
            <w:pPr>
              <w:pStyle w:val="48"/>
              <w:rPr>
                <w:rFonts w:cstheme="minorBidi"/>
                <w:kern w:val="2"/>
                <w:sz w:val="24"/>
                <w:szCs w:val="24"/>
                <w:lang w:val="en-US" w:bidi="ar-SA"/>
              </w:rPr>
            </w:pPr>
            <w:r>
              <w:rPr>
                <w:rFonts w:hint="eastAsia" w:cstheme="minorBidi"/>
                <w:kern w:val="2"/>
                <w:sz w:val="24"/>
                <w:szCs w:val="24"/>
                <w:lang w:val="en-US" w:bidi="ar-SA"/>
              </w:rPr>
              <w:t>各项内容为专门针对本项目编制，符合本项目实际情况，能够保障项目顺利实施的得</w:t>
            </w:r>
            <w:r>
              <w:rPr>
                <w:rFonts w:cstheme="minorBidi"/>
                <w:kern w:val="2"/>
                <w:sz w:val="24"/>
                <w:szCs w:val="24"/>
                <w:lang w:val="en-US" w:bidi="ar-SA"/>
              </w:rPr>
              <w:t>12</w:t>
            </w:r>
            <w:r>
              <w:rPr>
                <w:rFonts w:hint="eastAsia" w:cstheme="minorBidi"/>
                <w:kern w:val="2"/>
                <w:sz w:val="24"/>
                <w:szCs w:val="24"/>
                <w:lang w:val="en-US" w:bidi="ar-SA"/>
              </w:rPr>
              <w:t>分；每缺少一项内容或该项内容非专门针对本项目或内容不符合本项目实际情况的，每有一项扣</w:t>
            </w:r>
            <w:r>
              <w:rPr>
                <w:rFonts w:cstheme="minorBidi"/>
                <w:kern w:val="2"/>
                <w:sz w:val="24"/>
                <w:szCs w:val="24"/>
                <w:lang w:val="en-US" w:bidi="ar-SA"/>
              </w:rPr>
              <w:t>2</w:t>
            </w:r>
            <w:r>
              <w:rPr>
                <w:rFonts w:hint="eastAsia" w:cstheme="minorBidi"/>
                <w:kern w:val="2"/>
                <w:sz w:val="24"/>
                <w:szCs w:val="24"/>
                <w:lang w:val="en-US" w:bidi="ar-SA"/>
              </w:rPr>
              <w:t>分，扣完为止。</w:t>
            </w:r>
          </w:p>
        </w:tc>
        <w:tc>
          <w:tcPr>
            <w:tcW w:w="961" w:type="dxa"/>
          </w:tcPr>
          <w:p>
            <w:pPr>
              <w:pStyle w:val="48"/>
              <w:ind w:left="182" w:right="171"/>
              <w:jc w:val="center"/>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Merge w:val="continue"/>
            <w:vAlign w:val="center"/>
          </w:tcPr>
          <w:p>
            <w:pPr>
              <w:pStyle w:val="48"/>
              <w:ind w:left="8"/>
              <w:jc w:val="center"/>
              <w:rPr>
                <w:rFonts w:cstheme="minorBidi"/>
                <w:kern w:val="2"/>
                <w:sz w:val="24"/>
                <w:szCs w:val="24"/>
                <w:lang w:val="en-US" w:bidi="ar-SA"/>
              </w:rPr>
            </w:pPr>
          </w:p>
        </w:tc>
        <w:tc>
          <w:tcPr>
            <w:tcW w:w="1243" w:type="dxa"/>
            <w:vMerge w:val="continue"/>
            <w:vAlign w:val="center"/>
          </w:tcPr>
          <w:p>
            <w:pPr>
              <w:pStyle w:val="48"/>
              <w:ind w:left="107"/>
              <w:rPr>
                <w:rFonts w:cstheme="minorBidi"/>
                <w:kern w:val="2"/>
                <w:sz w:val="24"/>
                <w:szCs w:val="24"/>
                <w:lang w:val="en-US" w:bidi="ar-SA"/>
              </w:rPr>
            </w:pPr>
          </w:p>
        </w:tc>
        <w:tc>
          <w:tcPr>
            <w:tcW w:w="476" w:type="dxa"/>
            <w:vMerge w:val="continue"/>
            <w:vAlign w:val="center"/>
          </w:tcPr>
          <w:p>
            <w:pPr>
              <w:pStyle w:val="48"/>
              <w:ind w:left="107"/>
              <w:rPr>
                <w:rFonts w:cstheme="minorBidi"/>
                <w:kern w:val="2"/>
                <w:sz w:val="24"/>
                <w:szCs w:val="24"/>
                <w:lang w:val="en-US" w:bidi="ar-SA"/>
              </w:rPr>
            </w:pPr>
          </w:p>
        </w:tc>
        <w:tc>
          <w:tcPr>
            <w:tcW w:w="5474" w:type="dxa"/>
            <w:vAlign w:val="center"/>
          </w:tcPr>
          <w:p>
            <w:pPr>
              <w:pStyle w:val="48"/>
              <w:rPr>
                <w:rFonts w:cstheme="minorBidi"/>
                <w:kern w:val="2"/>
                <w:sz w:val="24"/>
                <w:szCs w:val="24"/>
                <w:lang w:val="en-US" w:bidi="ar-SA"/>
              </w:rPr>
            </w:pPr>
            <w:r>
              <w:rPr>
                <w:rFonts w:hint="eastAsia" w:cstheme="minorBidi"/>
                <w:kern w:val="2"/>
                <w:sz w:val="24"/>
                <w:szCs w:val="24"/>
                <w:lang w:val="en-US" w:bidi="ar-SA"/>
              </w:rPr>
              <w:t>根据供应商针对本项目提供的环境保护管理体系与措施进行评审：</w:t>
            </w:r>
          </w:p>
          <w:p>
            <w:pPr>
              <w:pStyle w:val="48"/>
              <w:rPr>
                <w:rFonts w:cstheme="minorBidi"/>
                <w:kern w:val="2"/>
                <w:sz w:val="24"/>
                <w:szCs w:val="24"/>
                <w:lang w:val="en-US" w:bidi="ar-SA"/>
              </w:rPr>
            </w:pPr>
            <w:r>
              <w:rPr>
                <w:rFonts w:hint="eastAsia" w:cstheme="minorBidi"/>
                <w:kern w:val="2"/>
                <w:sz w:val="24"/>
                <w:szCs w:val="24"/>
                <w:lang w:val="en-US" w:bidi="ar-SA"/>
              </w:rPr>
              <w:t>①环境保护管理体系；</w:t>
            </w:r>
          </w:p>
          <w:p>
            <w:pPr>
              <w:pStyle w:val="48"/>
              <w:rPr>
                <w:rFonts w:cstheme="minorBidi"/>
                <w:kern w:val="2"/>
                <w:sz w:val="24"/>
                <w:szCs w:val="24"/>
                <w:lang w:val="en-US" w:bidi="ar-SA"/>
              </w:rPr>
            </w:pPr>
            <w:r>
              <w:rPr>
                <w:rFonts w:hint="eastAsia" w:cstheme="minorBidi"/>
                <w:kern w:val="2"/>
                <w:sz w:val="24"/>
                <w:szCs w:val="24"/>
                <w:lang w:val="en-US" w:bidi="ar-SA"/>
              </w:rPr>
              <w:t>②污染物处理、扬尘处理、噪音控制；</w:t>
            </w:r>
          </w:p>
          <w:p>
            <w:pPr>
              <w:pStyle w:val="48"/>
              <w:rPr>
                <w:rFonts w:cstheme="minorBidi"/>
                <w:kern w:val="2"/>
                <w:sz w:val="24"/>
                <w:szCs w:val="24"/>
                <w:lang w:val="en-US" w:bidi="ar-SA"/>
              </w:rPr>
            </w:pPr>
            <w:r>
              <w:rPr>
                <w:rFonts w:hint="eastAsia" w:cstheme="minorBidi"/>
                <w:kern w:val="2"/>
                <w:sz w:val="24"/>
                <w:szCs w:val="24"/>
                <w:lang w:val="en-US" w:bidi="ar-SA"/>
              </w:rPr>
              <w:t>③维修垃圾处理、废弃物处理。</w:t>
            </w:r>
          </w:p>
          <w:p>
            <w:pPr>
              <w:pStyle w:val="48"/>
              <w:rPr>
                <w:rFonts w:cstheme="minorBidi"/>
                <w:kern w:val="2"/>
                <w:sz w:val="24"/>
                <w:szCs w:val="24"/>
                <w:lang w:val="en-US" w:bidi="ar-SA"/>
              </w:rPr>
            </w:pPr>
            <w:r>
              <w:rPr>
                <w:rFonts w:hint="eastAsia" w:cstheme="minorBidi"/>
                <w:kern w:val="2"/>
                <w:sz w:val="24"/>
                <w:szCs w:val="24"/>
                <w:lang w:val="en-US" w:bidi="ar-SA"/>
              </w:rPr>
              <w:t>各项内容为专门针对本项目编制，符合本项目实际情况，能够保障项目顺利实施的得6分；每缺少一项内容或该项内容非专门针对本项目或内容不符合本项目实际情况的，每有一项扣2分，扣完为止。</w:t>
            </w:r>
          </w:p>
        </w:tc>
        <w:tc>
          <w:tcPr>
            <w:tcW w:w="961" w:type="dxa"/>
          </w:tcPr>
          <w:p>
            <w:pPr>
              <w:pStyle w:val="48"/>
              <w:ind w:left="182" w:right="171"/>
              <w:jc w:val="center"/>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1243" w:type="dxa"/>
            <w:vAlign w:val="center"/>
          </w:tcPr>
          <w:p>
            <w:pPr>
              <w:jc w:val="center"/>
              <w:rPr>
                <w:rFonts w:ascii="仿宋" w:hAnsi="仿宋" w:eastAsia="仿宋"/>
                <w:sz w:val="24"/>
                <w:szCs w:val="24"/>
              </w:rPr>
            </w:pPr>
            <w:r>
              <w:rPr>
                <w:rFonts w:hint="eastAsia" w:ascii="仿宋" w:hAnsi="仿宋" w:eastAsia="仿宋"/>
                <w:sz w:val="24"/>
                <w:szCs w:val="24"/>
              </w:rPr>
              <w:t>质量保障</w:t>
            </w:r>
          </w:p>
          <w:p>
            <w:pPr>
              <w:jc w:val="center"/>
              <w:rPr>
                <w:rFonts w:ascii="仿宋" w:hAnsi="仿宋" w:eastAsia="仿宋"/>
                <w:sz w:val="24"/>
                <w:szCs w:val="24"/>
              </w:rPr>
            </w:pPr>
          </w:p>
        </w:tc>
        <w:tc>
          <w:tcPr>
            <w:tcW w:w="476" w:type="dxa"/>
            <w:vAlign w:val="center"/>
          </w:tcPr>
          <w:p>
            <w:pPr>
              <w:jc w:val="center"/>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分</w:t>
            </w:r>
          </w:p>
        </w:tc>
        <w:tc>
          <w:tcPr>
            <w:tcW w:w="5474" w:type="dxa"/>
            <w:vAlign w:val="center"/>
          </w:tcPr>
          <w:p>
            <w:pPr>
              <w:rPr>
                <w:rFonts w:ascii="仿宋" w:hAnsi="仿宋" w:eastAsia="仿宋"/>
                <w:sz w:val="24"/>
                <w:szCs w:val="24"/>
              </w:rPr>
            </w:pPr>
            <w:r>
              <w:rPr>
                <w:rFonts w:hint="eastAsia" w:ascii="仿宋" w:hAnsi="仿宋" w:eastAsia="仿宋"/>
                <w:sz w:val="24"/>
                <w:szCs w:val="24"/>
              </w:rPr>
              <w:t>根据供应商提供的维修施工组织方案中的质量保证措施：符合国家对公寓家具维修项目相关验收年限要求，后期维护及时迅速（24小时以内完成维修更换的）得</w:t>
            </w:r>
            <w:r>
              <w:rPr>
                <w:rFonts w:ascii="仿宋" w:hAnsi="仿宋" w:eastAsia="仿宋"/>
                <w:sz w:val="24"/>
                <w:szCs w:val="24"/>
              </w:rPr>
              <w:t>3</w:t>
            </w:r>
            <w:r>
              <w:rPr>
                <w:rFonts w:hint="eastAsia" w:ascii="仿宋" w:hAnsi="仿宋" w:eastAsia="仿宋"/>
                <w:sz w:val="24"/>
                <w:szCs w:val="24"/>
              </w:rPr>
              <w:t>分，每承诺完成维修少于三个小时的加1分，最多加3分。</w:t>
            </w:r>
          </w:p>
        </w:tc>
        <w:tc>
          <w:tcPr>
            <w:tcW w:w="961" w:type="dxa"/>
          </w:tcPr>
          <w:p>
            <w:pPr>
              <w:pStyle w:val="48"/>
              <w:ind w:left="182" w:right="171"/>
              <w:jc w:val="center"/>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Align w:val="center"/>
          </w:tcPr>
          <w:p>
            <w:pPr>
              <w:pStyle w:val="48"/>
              <w:jc w:val="center"/>
              <w:rPr>
                <w:rFonts w:cstheme="minorBidi"/>
                <w:kern w:val="2"/>
                <w:sz w:val="24"/>
                <w:szCs w:val="24"/>
                <w:lang w:val="en-US" w:bidi="ar-SA"/>
              </w:rPr>
            </w:pPr>
          </w:p>
          <w:p>
            <w:pPr>
              <w:pStyle w:val="48"/>
              <w:ind w:left="8"/>
              <w:jc w:val="center"/>
              <w:rPr>
                <w:rFonts w:cstheme="minorBidi"/>
                <w:kern w:val="2"/>
                <w:sz w:val="24"/>
                <w:szCs w:val="24"/>
                <w:lang w:val="en-US" w:bidi="ar-SA"/>
              </w:rPr>
            </w:pPr>
            <w:r>
              <w:rPr>
                <w:rFonts w:hint="eastAsia" w:cstheme="minorBidi"/>
                <w:kern w:val="2"/>
                <w:sz w:val="24"/>
                <w:szCs w:val="24"/>
                <w:lang w:val="en-US" w:bidi="ar-SA"/>
              </w:rPr>
              <w:t>4</w:t>
            </w:r>
          </w:p>
        </w:tc>
        <w:tc>
          <w:tcPr>
            <w:tcW w:w="1243" w:type="dxa"/>
            <w:vAlign w:val="center"/>
          </w:tcPr>
          <w:p>
            <w:pPr>
              <w:pStyle w:val="48"/>
              <w:ind w:right="212"/>
              <w:jc w:val="center"/>
              <w:rPr>
                <w:rFonts w:cstheme="minorBidi"/>
                <w:kern w:val="2"/>
                <w:sz w:val="24"/>
                <w:szCs w:val="24"/>
                <w:lang w:val="en-US" w:bidi="ar-SA"/>
              </w:rPr>
            </w:pPr>
            <w:r>
              <w:rPr>
                <w:rFonts w:hint="eastAsia" w:cstheme="minorBidi"/>
                <w:kern w:val="2"/>
                <w:sz w:val="24"/>
                <w:szCs w:val="24"/>
                <w:lang w:val="en-US" w:bidi="ar-SA"/>
              </w:rPr>
              <w:t>类似业绩</w:t>
            </w:r>
          </w:p>
        </w:tc>
        <w:tc>
          <w:tcPr>
            <w:tcW w:w="476" w:type="dxa"/>
            <w:vAlign w:val="center"/>
          </w:tcPr>
          <w:p>
            <w:pPr>
              <w:pStyle w:val="48"/>
              <w:jc w:val="center"/>
              <w:rPr>
                <w:rFonts w:cstheme="minorBidi"/>
                <w:kern w:val="2"/>
                <w:sz w:val="24"/>
                <w:szCs w:val="24"/>
                <w:lang w:val="en-US" w:bidi="ar-SA"/>
              </w:rPr>
            </w:pPr>
            <w:r>
              <w:rPr>
                <w:rFonts w:hint="eastAsia" w:cstheme="minorBidi"/>
                <w:kern w:val="2"/>
                <w:sz w:val="24"/>
                <w:szCs w:val="24"/>
                <w:lang w:val="en-US" w:bidi="ar-SA"/>
              </w:rPr>
              <w:t>9分</w:t>
            </w:r>
          </w:p>
        </w:tc>
        <w:tc>
          <w:tcPr>
            <w:tcW w:w="5474" w:type="dxa"/>
          </w:tcPr>
          <w:p>
            <w:pPr>
              <w:pStyle w:val="48"/>
              <w:rPr>
                <w:rFonts w:cstheme="minorBidi"/>
                <w:kern w:val="2"/>
                <w:sz w:val="24"/>
                <w:szCs w:val="24"/>
                <w:lang w:val="en-US" w:bidi="ar-SA"/>
              </w:rPr>
            </w:pPr>
            <w:r>
              <w:rPr>
                <w:rFonts w:hint="eastAsia" w:cstheme="minorBidi"/>
                <w:kern w:val="2"/>
                <w:sz w:val="24"/>
                <w:szCs w:val="24"/>
                <w:lang w:val="en-US" w:bidi="ar-SA"/>
              </w:rPr>
              <w:t>供应商具有近三年类似项目业绩的，每具有 1 个得 3 分，最多得9 分。（提供协议或合同复印件予以佐证，不提供或不满足不得分）</w:t>
            </w:r>
          </w:p>
        </w:tc>
        <w:tc>
          <w:tcPr>
            <w:tcW w:w="961" w:type="dxa"/>
          </w:tcPr>
          <w:p>
            <w:pPr>
              <w:pStyle w:val="48"/>
              <w:ind w:left="182" w:right="171"/>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Align w:val="center"/>
          </w:tcPr>
          <w:p>
            <w:pPr>
              <w:pStyle w:val="48"/>
              <w:jc w:val="center"/>
              <w:rPr>
                <w:rFonts w:cstheme="minorBidi"/>
                <w:kern w:val="2"/>
                <w:sz w:val="24"/>
                <w:szCs w:val="24"/>
                <w:lang w:val="en-US" w:bidi="ar-SA"/>
              </w:rPr>
            </w:pPr>
          </w:p>
          <w:p>
            <w:pPr>
              <w:pStyle w:val="48"/>
              <w:ind w:left="37"/>
              <w:jc w:val="center"/>
              <w:rPr>
                <w:rFonts w:cstheme="minorBidi"/>
                <w:kern w:val="2"/>
                <w:sz w:val="24"/>
                <w:szCs w:val="24"/>
                <w:lang w:val="en-US" w:bidi="ar-SA"/>
              </w:rPr>
            </w:pPr>
            <w:r>
              <w:rPr>
                <w:rFonts w:hint="eastAsia" w:cstheme="minorBidi"/>
                <w:kern w:val="2"/>
                <w:sz w:val="24"/>
                <w:szCs w:val="24"/>
                <w:lang w:val="en-US" w:bidi="ar-SA"/>
              </w:rPr>
              <w:t>5</w:t>
            </w:r>
          </w:p>
        </w:tc>
        <w:tc>
          <w:tcPr>
            <w:tcW w:w="1243"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人员配置</w:t>
            </w:r>
          </w:p>
          <w:p>
            <w:pPr>
              <w:pStyle w:val="11"/>
              <w:spacing w:after="0"/>
              <w:jc w:val="center"/>
              <w:rPr>
                <w:rFonts w:ascii="仿宋" w:hAnsi="仿宋" w:eastAsia="仿宋"/>
                <w:sz w:val="24"/>
                <w:szCs w:val="24"/>
              </w:rPr>
            </w:pPr>
          </w:p>
        </w:tc>
        <w:tc>
          <w:tcPr>
            <w:tcW w:w="476"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7分</w:t>
            </w:r>
          </w:p>
        </w:tc>
        <w:tc>
          <w:tcPr>
            <w:tcW w:w="5474" w:type="dxa"/>
            <w:vAlign w:val="center"/>
          </w:tcPr>
          <w:p>
            <w:pPr>
              <w:pStyle w:val="11"/>
              <w:spacing w:after="0"/>
              <w:rPr>
                <w:rFonts w:ascii="仿宋" w:hAnsi="仿宋" w:eastAsia="仿宋"/>
                <w:sz w:val="24"/>
                <w:szCs w:val="24"/>
              </w:rPr>
            </w:pPr>
            <w:r>
              <w:rPr>
                <w:rFonts w:hint="eastAsia" w:ascii="仿宋" w:hAnsi="仿宋" w:eastAsia="仿宋"/>
                <w:sz w:val="24"/>
                <w:szCs w:val="24"/>
              </w:rPr>
              <w:t>技术维修负责人：持有设备维修技术负责人从业资格证得1分；</w:t>
            </w:r>
          </w:p>
          <w:p>
            <w:pPr>
              <w:pStyle w:val="11"/>
              <w:spacing w:after="0"/>
              <w:rPr>
                <w:rFonts w:ascii="仿宋" w:hAnsi="仿宋" w:eastAsia="仿宋"/>
                <w:sz w:val="24"/>
                <w:szCs w:val="24"/>
              </w:rPr>
            </w:pPr>
            <w:r>
              <w:rPr>
                <w:rFonts w:hint="eastAsia" w:ascii="仿宋" w:hAnsi="仿宋" w:eastAsia="仿宋"/>
                <w:sz w:val="24"/>
                <w:szCs w:val="24"/>
              </w:rPr>
              <w:t>维修质检员：持有设备维修质量检验员从业资格证得1分，取得设备维修或相关专业中级以上（含中级）专业技术职称（或职业水平）证书得1分；</w:t>
            </w:r>
          </w:p>
          <w:p>
            <w:pPr>
              <w:pStyle w:val="48"/>
              <w:rPr>
                <w:rFonts w:cstheme="minorBidi"/>
                <w:kern w:val="2"/>
                <w:sz w:val="24"/>
                <w:szCs w:val="24"/>
                <w:lang w:val="en-US" w:bidi="ar-SA"/>
              </w:rPr>
            </w:pPr>
            <w:r>
              <w:rPr>
                <w:rFonts w:hint="eastAsia" w:cstheme="minorBidi"/>
                <w:kern w:val="2"/>
                <w:sz w:val="24"/>
                <w:szCs w:val="24"/>
                <w:lang w:val="en-US" w:bidi="ar-SA"/>
              </w:rPr>
              <w:t>其他人员：机修或电器维修工、钣金工、除漆工、焊接工（均需持有相关的从业资格证）配备齐全的得</w:t>
            </w:r>
            <w:r>
              <w:rPr>
                <w:rFonts w:cstheme="minorBidi"/>
                <w:kern w:val="2"/>
                <w:sz w:val="24"/>
                <w:szCs w:val="24"/>
                <w:lang w:val="en-US" w:bidi="ar-SA"/>
              </w:rPr>
              <w:t>4</w:t>
            </w:r>
            <w:r>
              <w:rPr>
                <w:rFonts w:hint="eastAsia" w:cstheme="minorBidi"/>
                <w:kern w:val="2"/>
                <w:sz w:val="24"/>
                <w:szCs w:val="24"/>
                <w:lang w:val="en-US" w:bidi="ar-SA"/>
              </w:rPr>
              <w:t>分，缺少一名扣1分，扣完为止。</w:t>
            </w:r>
          </w:p>
          <w:p>
            <w:pPr>
              <w:pStyle w:val="48"/>
              <w:rPr>
                <w:sz w:val="24"/>
                <w:szCs w:val="24"/>
              </w:rPr>
            </w:pPr>
            <w:r>
              <w:rPr>
                <w:rFonts w:hint="eastAsia" w:cstheme="minorBidi"/>
                <w:kern w:val="2"/>
                <w:sz w:val="24"/>
                <w:szCs w:val="24"/>
                <w:lang w:val="en-US" w:bidi="ar-SA"/>
              </w:rPr>
              <w:t>注：以上人员不重复计算，提供与所投单位签订的劳动关系证明材料复印件和有效证书复印件并加盖供应商鲜章。</w:t>
            </w:r>
          </w:p>
        </w:tc>
        <w:tc>
          <w:tcPr>
            <w:tcW w:w="961" w:type="dxa"/>
          </w:tcPr>
          <w:p>
            <w:pPr>
              <w:pStyle w:val="48"/>
              <w:ind w:left="182" w:right="171"/>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Align w:val="center"/>
          </w:tcPr>
          <w:p>
            <w:pPr>
              <w:pStyle w:val="48"/>
              <w:ind w:left="37"/>
              <w:jc w:val="center"/>
              <w:rPr>
                <w:rFonts w:cstheme="minorBidi"/>
                <w:kern w:val="2"/>
                <w:sz w:val="24"/>
                <w:szCs w:val="24"/>
                <w:lang w:val="en-US" w:bidi="ar-SA"/>
              </w:rPr>
            </w:pPr>
            <w:r>
              <w:rPr>
                <w:rFonts w:hint="eastAsia" w:cstheme="minorBidi"/>
                <w:kern w:val="2"/>
                <w:sz w:val="24"/>
                <w:szCs w:val="24"/>
                <w:lang w:val="en-US" w:bidi="ar-SA"/>
              </w:rPr>
              <w:t>6</w:t>
            </w:r>
          </w:p>
        </w:tc>
        <w:tc>
          <w:tcPr>
            <w:tcW w:w="1243" w:type="dxa"/>
            <w:vAlign w:val="center"/>
          </w:tcPr>
          <w:p>
            <w:pPr>
              <w:pStyle w:val="48"/>
              <w:ind w:left="220" w:right="212"/>
              <w:jc w:val="center"/>
              <w:rPr>
                <w:rFonts w:cstheme="minorBidi"/>
                <w:kern w:val="2"/>
                <w:sz w:val="24"/>
                <w:szCs w:val="24"/>
                <w:lang w:val="en-US" w:bidi="ar-SA"/>
              </w:rPr>
            </w:pPr>
            <w:r>
              <w:rPr>
                <w:rFonts w:hint="eastAsia" w:cstheme="minorBidi"/>
                <w:kern w:val="2"/>
                <w:sz w:val="24"/>
                <w:szCs w:val="24"/>
                <w:lang w:val="en-US" w:bidi="ar-SA"/>
              </w:rPr>
              <w:t>响应文件的规范性</w:t>
            </w:r>
          </w:p>
          <w:p>
            <w:pPr>
              <w:pStyle w:val="48"/>
              <w:ind w:left="218" w:right="212"/>
              <w:jc w:val="center"/>
              <w:rPr>
                <w:rFonts w:cstheme="minorBidi"/>
                <w:kern w:val="2"/>
                <w:sz w:val="24"/>
                <w:szCs w:val="24"/>
                <w:lang w:val="en-US" w:bidi="ar-SA"/>
              </w:rPr>
            </w:pPr>
          </w:p>
        </w:tc>
        <w:tc>
          <w:tcPr>
            <w:tcW w:w="476" w:type="dxa"/>
            <w:vAlign w:val="center"/>
          </w:tcPr>
          <w:p>
            <w:pPr>
              <w:pStyle w:val="48"/>
              <w:jc w:val="center"/>
              <w:rPr>
                <w:rFonts w:cstheme="minorBidi"/>
                <w:kern w:val="2"/>
                <w:sz w:val="24"/>
                <w:szCs w:val="24"/>
                <w:lang w:val="en-US" w:bidi="ar-SA"/>
              </w:rPr>
            </w:pPr>
            <w:r>
              <w:rPr>
                <w:rFonts w:hint="eastAsia" w:cstheme="minorBidi"/>
                <w:kern w:val="2"/>
                <w:sz w:val="24"/>
                <w:szCs w:val="24"/>
                <w:lang w:val="en-US" w:bidi="ar-SA"/>
              </w:rPr>
              <w:t>3分</w:t>
            </w:r>
          </w:p>
        </w:tc>
        <w:tc>
          <w:tcPr>
            <w:tcW w:w="5474" w:type="dxa"/>
          </w:tcPr>
          <w:p>
            <w:pPr>
              <w:pStyle w:val="48"/>
              <w:ind w:right="95"/>
              <w:rPr>
                <w:rFonts w:cstheme="minorBidi"/>
                <w:kern w:val="2"/>
                <w:sz w:val="24"/>
                <w:szCs w:val="24"/>
                <w:lang w:val="en-US" w:bidi="ar-SA"/>
              </w:rPr>
            </w:pPr>
            <w:r>
              <w:rPr>
                <w:rFonts w:hint="eastAsia" w:cstheme="minorBidi"/>
                <w:kern w:val="2"/>
                <w:sz w:val="24"/>
                <w:szCs w:val="24"/>
                <w:lang w:val="en-US" w:bidi="ar-SA"/>
              </w:rPr>
              <w:t>响应文件制作规范，目录、页码，响应文件按评分表中的项目次序归类装订，没有偏差情形的得 3 分；每有一项细微偏差扣0.5分，直至该项分值扣完为止。</w:t>
            </w:r>
          </w:p>
        </w:tc>
        <w:tc>
          <w:tcPr>
            <w:tcW w:w="961" w:type="dxa"/>
          </w:tcPr>
          <w:p>
            <w:pPr>
              <w:pStyle w:val="48"/>
              <w:ind w:left="182" w:right="171"/>
              <w:rPr>
                <w:rFonts w:cstheme="minorBidi"/>
                <w:kern w:val="2"/>
                <w:sz w:val="24"/>
                <w:szCs w:val="24"/>
                <w:lang w:val="en-US" w:bidi="ar-SA"/>
              </w:rPr>
            </w:pPr>
          </w:p>
        </w:tc>
      </w:tr>
    </w:tbl>
    <w:p>
      <w:pPr>
        <w:pStyle w:val="5"/>
        <w:spacing w:line="400" w:lineRule="exact"/>
        <w:rPr>
          <w:rFonts w:ascii="宋体" w:hAnsi="宋体" w:eastAsia="宋体"/>
          <w:color w:val="000000"/>
          <w:sz w:val="36"/>
          <w:szCs w:val="36"/>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5"/>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11"/>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6"/>
        <w:spacing w:line="400" w:lineRule="exact"/>
        <w:jc w:val="center"/>
        <w:rPr>
          <w:rFonts w:ascii="宋体" w:hAnsi="宋体" w:eastAsia="宋体"/>
          <w:sz w:val="32"/>
        </w:rPr>
      </w:pPr>
      <w:bookmarkStart w:id="30" w:name="_Toc217446082"/>
      <w:r>
        <w:rPr>
          <w:rFonts w:hint="eastAsia" w:ascii="宋体" w:hAnsi="宋体" w:eastAsia="宋体"/>
          <w:sz w:val="32"/>
        </w:rPr>
        <w:t>一、</w:t>
      </w:r>
      <w:bookmarkEnd w:id="30"/>
      <w:r>
        <w:rPr>
          <w:rFonts w:hint="eastAsia" w:ascii="宋体" w:hAnsi="宋体" w:eastAsia="宋体"/>
          <w:sz w:val="32"/>
        </w:rPr>
        <w:t>申请函</w:t>
      </w:r>
    </w:p>
    <w:p>
      <w:pPr>
        <w:pStyle w:val="14"/>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4"/>
        <w:spacing w:line="400" w:lineRule="exact"/>
        <w:ind w:firstLine="0"/>
        <w:rPr>
          <w:rFonts w:ascii="宋体" w:hAnsi="宋体" w:eastAsia="宋体"/>
          <w:bCs/>
          <w:sz w:val="24"/>
          <w:szCs w:val="24"/>
        </w:rPr>
      </w:pPr>
    </w:p>
    <w:p>
      <w:pPr>
        <w:pStyle w:val="14"/>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6"/>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11"/>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077" w:bottom="1440" w:left="1077"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6"/>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8"/>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6"/>
        <w:spacing w:line="400" w:lineRule="exact"/>
        <w:jc w:val="center"/>
        <w:rPr>
          <w:rFonts w:ascii="宋体" w:hAnsi="宋体" w:eastAsia="宋体"/>
          <w:sz w:val="32"/>
        </w:rPr>
      </w:pPr>
      <w:bookmarkStart w:id="31" w:name="_Toc217446088"/>
      <w:r>
        <w:rPr>
          <w:rFonts w:hint="eastAsia" w:ascii="宋体" w:hAnsi="宋体" w:eastAsia="宋体"/>
          <w:sz w:val="32"/>
        </w:rPr>
        <w:t>四、申请人基本情况表</w:t>
      </w:r>
      <w:bookmarkEnd w:id="31"/>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6"/>
        <w:spacing w:line="400" w:lineRule="exact"/>
        <w:jc w:val="center"/>
        <w:rPr>
          <w:rFonts w:ascii="宋体" w:hAnsi="宋体" w:eastAsia="宋体"/>
          <w:sz w:val="32"/>
        </w:rPr>
      </w:pPr>
      <w:bookmarkStart w:id="32" w:name="_Toc217446089"/>
      <w:r>
        <w:rPr>
          <w:rFonts w:hint="eastAsia" w:ascii="宋体" w:hAnsi="宋体" w:eastAsia="宋体"/>
          <w:sz w:val="32"/>
        </w:rPr>
        <w:t>五、申请人类似项目业绩一览表</w:t>
      </w:r>
      <w:bookmarkEnd w:id="32"/>
    </w:p>
    <w:p>
      <w:pPr>
        <w:spacing w:line="400" w:lineRule="exact"/>
        <w:rPr>
          <w:rFonts w:ascii="宋体" w:hAnsi="宋体" w:eastAsia="宋体" w:cs="Arial"/>
          <w:sz w:val="24"/>
        </w:rPr>
      </w:pPr>
    </w:p>
    <w:tbl>
      <w:tblPr>
        <w:tblStyle w:val="20"/>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6"/>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0"/>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spacing w:line="360" w:lineRule="auto"/>
              <w:jc w:val="center"/>
              <w:rPr>
                <w:rFonts w:ascii="宋体" w:hAnsi="宋体" w:eastAsia="宋体" w:cs="仿宋"/>
                <w:sz w:val="21"/>
                <w:szCs w:val="21"/>
              </w:rPr>
            </w:pPr>
          </w:p>
        </w:tc>
        <w:tc>
          <w:tcPr>
            <w:tcW w:w="3180" w:type="dxa"/>
            <w:vAlign w:val="center"/>
          </w:tcPr>
          <w:p>
            <w:pPr>
              <w:pStyle w:val="37"/>
              <w:spacing w:line="360" w:lineRule="auto"/>
              <w:jc w:val="center"/>
              <w:rPr>
                <w:rFonts w:ascii="宋体" w:hAnsi="宋体" w:eastAsia="宋体" w:cs="仿宋"/>
                <w:sz w:val="21"/>
                <w:szCs w:val="21"/>
              </w:rPr>
            </w:pPr>
          </w:p>
        </w:tc>
        <w:tc>
          <w:tcPr>
            <w:tcW w:w="2515"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11"/>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6"/>
        <w:spacing w:line="400" w:lineRule="exact"/>
        <w:jc w:val="center"/>
        <w:rPr>
          <w:rFonts w:ascii="宋体" w:hAnsi="宋体" w:eastAsia="宋体"/>
          <w:sz w:val="32"/>
        </w:rPr>
      </w:pPr>
      <w:r>
        <w:rPr>
          <w:rFonts w:hint="eastAsia" w:ascii="宋体" w:hAnsi="宋体" w:eastAsia="宋体"/>
          <w:sz w:val="32"/>
        </w:rPr>
        <w:t>七、商务应答表</w:t>
      </w:r>
    </w:p>
    <w:tbl>
      <w:tblPr>
        <w:tblStyle w:val="2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6"/>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11"/>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6"/>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5"/>
        <w:spacing w:before="0" w:after="0" w:line="240" w:lineRule="auto"/>
        <w:jc w:val="center"/>
        <w:rPr>
          <w:rFonts w:ascii="宋体" w:hAnsi="宋体" w:eastAsia="宋体"/>
          <w:color w:val="000000"/>
          <w:sz w:val="36"/>
          <w:szCs w:val="36"/>
        </w:rPr>
      </w:pPr>
      <w:bookmarkStart w:id="33" w:name="_Toc26179"/>
      <w:bookmarkStart w:id="34" w:name="_Toc13707"/>
      <w:bookmarkStart w:id="35" w:name="_Toc31585"/>
      <w:r>
        <w:rPr>
          <w:rFonts w:hint="eastAsia" w:ascii="宋体" w:hAnsi="宋体" w:eastAsia="宋体"/>
          <w:color w:val="000000"/>
          <w:sz w:val="36"/>
          <w:szCs w:val="36"/>
        </w:rPr>
        <w:t>第七章 采购合同条款（草案）</w:t>
      </w:r>
      <w:bookmarkEnd w:id="33"/>
      <w:bookmarkEnd w:id="34"/>
      <w:bookmarkEnd w:id="35"/>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mI4ODVkOTI4MDU0N2JlOTE4OWZjNjc2YmI3OWQifQ=="/>
  </w:docVars>
  <w:rsids>
    <w:rsidRoot w:val="00CD5AE8"/>
    <w:rsid w:val="00004412"/>
    <w:rsid w:val="00036B21"/>
    <w:rsid w:val="000432F2"/>
    <w:rsid w:val="00060E70"/>
    <w:rsid w:val="00067298"/>
    <w:rsid w:val="000A3154"/>
    <w:rsid w:val="000B07A6"/>
    <w:rsid w:val="00161120"/>
    <w:rsid w:val="001802E8"/>
    <w:rsid w:val="001D075C"/>
    <w:rsid w:val="001D5AF5"/>
    <w:rsid w:val="0024094B"/>
    <w:rsid w:val="002503E2"/>
    <w:rsid w:val="002623F4"/>
    <w:rsid w:val="002F6A92"/>
    <w:rsid w:val="00313B76"/>
    <w:rsid w:val="00324A0A"/>
    <w:rsid w:val="003569BD"/>
    <w:rsid w:val="00357EDC"/>
    <w:rsid w:val="003738CF"/>
    <w:rsid w:val="003834B9"/>
    <w:rsid w:val="003E3E28"/>
    <w:rsid w:val="00401650"/>
    <w:rsid w:val="004241AA"/>
    <w:rsid w:val="00424D97"/>
    <w:rsid w:val="004318DE"/>
    <w:rsid w:val="00440DEA"/>
    <w:rsid w:val="004E4695"/>
    <w:rsid w:val="004F5587"/>
    <w:rsid w:val="00505F07"/>
    <w:rsid w:val="00511166"/>
    <w:rsid w:val="00542BBB"/>
    <w:rsid w:val="005439BB"/>
    <w:rsid w:val="00563636"/>
    <w:rsid w:val="005A403D"/>
    <w:rsid w:val="0060271B"/>
    <w:rsid w:val="00643ADE"/>
    <w:rsid w:val="006544EC"/>
    <w:rsid w:val="006556EA"/>
    <w:rsid w:val="006B5D0A"/>
    <w:rsid w:val="0070549E"/>
    <w:rsid w:val="00732BBC"/>
    <w:rsid w:val="007778BD"/>
    <w:rsid w:val="007B6243"/>
    <w:rsid w:val="007E7A49"/>
    <w:rsid w:val="007F0BFD"/>
    <w:rsid w:val="00856815"/>
    <w:rsid w:val="008E5B26"/>
    <w:rsid w:val="00957BCC"/>
    <w:rsid w:val="009B7C41"/>
    <w:rsid w:val="009C3D5D"/>
    <w:rsid w:val="009D176B"/>
    <w:rsid w:val="00A00917"/>
    <w:rsid w:val="00A47E42"/>
    <w:rsid w:val="00A66191"/>
    <w:rsid w:val="00AD3324"/>
    <w:rsid w:val="00AD4593"/>
    <w:rsid w:val="00AD5736"/>
    <w:rsid w:val="00AE68DC"/>
    <w:rsid w:val="00B13195"/>
    <w:rsid w:val="00B94575"/>
    <w:rsid w:val="00B94CE5"/>
    <w:rsid w:val="00BB6994"/>
    <w:rsid w:val="00BC53E6"/>
    <w:rsid w:val="00C03CD7"/>
    <w:rsid w:val="00C05841"/>
    <w:rsid w:val="00C65CAF"/>
    <w:rsid w:val="00C84C28"/>
    <w:rsid w:val="00CD5AE8"/>
    <w:rsid w:val="00CF5D5B"/>
    <w:rsid w:val="00D072FA"/>
    <w:rsid w:val="00D27CBC"/>
    <w:rsid w:val="00D47E8F"/>
    <w:rsid w:val="00D50F3F"/>
    <w:rsid w:val="00D55951"/>
    <w:rsid w:val="00D937EB"/>
    <w:rsid w:val="00DA48A9"/>
    <w:rsid w:val="00DB3C4D"/>
    <w:rsid w:val="00DC351D"/>
    <w:rsid w:val="00E15BF1"/>
    <w:rsid w:val="00E250D7"/>
    <w:rsid w:val="00E85DDD"/>
    <w:rsid w:val="00E94A76"/>
    <w:rsid w:val="00EB5667"/>
    <w:rsid w:val="00EC7A71"/>
    <w:rsid w:val="00EF231C"/>
    <w:rsid w:val="00F22F28"/>
    <w:rsid w:val="00F34F45"/>
    <w:rsid w:val="00F53C48"/>
    <w:rsid w:val="00F934B2"/>
    <w:rsid w:val="00FD4A63"/>
    <w:rsid w:val="07F55C66"/>
    <w:rsid w:val="0E945864"/>
    <w:rsid w:val="11381934"/>
    <w:rsid w:val="153656F6"/>
    <w:rsid w:val="4048214A"/>
    <w:rsid w:val="414334DE"/>
    <w:rsid w:val="443A6040"/>
    <w:rsid w:val="4C847BD4"/>
    <w:rsid w:val="5261632C"/>
    <w:rsid w:val="5BD415B9"/>
    <w:rsid w:val="5E124648"/>
    <w:rsid w:val="60E8620D"/>
    <w:rsid w:val="765E4A8E"/>
    <w:rsid w:val="7CE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7"/>
    <w:qFormat/>
    <w:uiPriority w:val="99"/>
    <w:pPr>
      <w:keepNext/>
      <w:keepLines/>
      <w:spacing w:before="340" w:after="330" w:line="576" w:lineRule="auto"/>
      <w:outlineLvl w:val="0"/>
    </w:pPr>
    <w:rPr>
      <w:b/>
      <w:bCs/>
      <w:kern w:val="44"/>
      <w:sz w:val="44"/>
      <w:szCs w:val="44"/>
    </w:rPr>
  </w:style>
  <w:style w:type="paragraph" w:styleId="6">
    <w:name w:val="heading 2"/>
    <w:basedOn w:val="1"/>
    <w:next w:val="1"/>
    <w:link w:val="28"/>
    <w:qFormat/>
    <w:uiPriority w:val="0"/>
    <w:pPr>
      <w:keepNext/>
      <w:keepLines/>
      <w:spacing w:before="120" w:after="120"/>
      <w:outlineLvl w:val="1"/>
    </w:pPr>
    <w:rPr>
      <w:rFonts w:ascii="Arial" w:hAnsi="Arial" w:eastAsia="仿宋"/>
      <w:b/>
      <w:bCs/>
      <w:sz w:val="28"/>
      <w:szCs w:val="32"/>
    </w:rPr>
  </w:style>
  <w:style w:type="paragraph" w:styleId="7">
    <w:name w:val="heading 3"/>
    <w:basedOn w:val="1"/>
    <w:next w:val="1"/>
    <w:link w:val="29"/>
    <w:qFormat/>
    <w:uiPriority w:val="0"/>
    <w:pPr>
      <w:keepNext/>
      <w:keepLines/>
      <w:spacing w:before="120" w:after="120"/>
      <w:outlineLvl w:val="2"/>
    </w:pPr>
    <w:rPr>
      <w:rFonts w:eastAsia="仿宋"/>
      <w:b/>
      <w:sz w:val="30"/>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3"/>
    <w:next w:val="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
    <w:name w:val="正文（绿盟科技）"/>
    <w:qFormat/>
    <w:uiPriority w:val="0"/>
    <w:pPr>
      <w:spacing w:line="300" w:lineRule="auto"/>
    </w:pPr>
    <w:rPr>
      <w:rFonts w:ascii="Arial" w:hAnsi="Arial" w:eastAsia="宋体" w:cs="Times New Roman"/>
      <w:sz w:val="21"/>
      <w:szCs w:val="21"/>
      <w:lang w:val="en-US" w:eastAsia="zh-CN" w:bidi="ar-SA"/>
    </w:rPr>
  </w:style>
  <w:style w:type="paragraph" w:styleId="8">
    <w:name w:val="table of authorities"/>
    <w:basedOn w:val="1"/>
    <w:next w:val="1"/>
    <w:qFormat/>
    <w:uiPriority w:val="99"/>
    <w:pPr>
      <w:ind w:left="420" w:leftChars="200"/>
    </w:pPr>
  </w:style>
  <w:style w:type="paragraph" w:styleId="9">
    <w:name w:val="Normal Indent"/>
    <w:basedOn w:val="1"/>
    <w:qFormat/>
    <w:uiPriority w:val="0"/>
    <w:pPr>
      <w:ind w:firstLine="420" w:firstLineChars="200"/>
    </w:pPr>
  </w:style>
  <w:style w:type="paragraph" w:styleId="10">
    <w:name w:val="annotation text"/>
    <w:basedOn w:val="1"/>
    <w:link w:val="31"/>
    <w:qFormat/>
    <w:uiPriority w:val="0"/>
    <w:pPr>
      <w:jc w:val="left"/>
    </w:pPr>
  </w:style>
  <w:style w:type="paragraph" w:styleId="11">
    <w:name w:val="Body Text"/>
    <w:basedOn w:val="1"/>
    <w:next w:val="1"/>
    <w:link w:val="30"/>
    <w:qFormat/>
    <w:uiPriority w:val="0"/>
    <w:pPr>
      <w:spacing w:after="120"/>
    </w:pPr>
  </w:style>
  <w:style w:type="paragraph" w:styleId="12">
    <w:name w:val="Plain Text"/>
    <w:basedOn w:val="1"/>
    <w:qFormat/>
    <w:uiPriority w:val="0"/>
    <w:rPr>
      <w:rFonts w:hAnsi="Courier New"/>
    </w:rPr>
  </w:style>
  <w:style w:type="paragraph" w:styleId="13">
    <w:name w:val="Date"/>
    <w:basedOn w:val="1"/>
    <w:next w:val="1"/>
    <w:link w:val="45"/>
    <w:semiHidden/>
    <w:unhideWhenUsed/>
    <w:qFormat/>
    <w:uiPriority w:val="99"/>
    <w:pPr>
      <w:ind w:left="100" w:leftChars="2500"/>
    </w:pPr>
  </w:style>
  <w:style w:type="paragraph" w:styleId="14">
    <w:name w:val="Body Text Indent 2"/>
    <w:basedOn w:val="1"/>
    <w:link w:val="32"/>
    <w:qFormat/>
    <w:uiPriority w:val="0"/>
    <w:pPr>
      <w:ind w:firstLine="630"/>
    </w:pPr>
    <w:rPr>
      <w:sz w:val="32"/>
    </w:rPr>
  </w:style>
  <w:style w:type="paragraph" w:styleId="15">
    <w:name w:val="footer"/>
    <w:basedOn w:val="1"/>
    <w:link w:val="26"/>
    <w:unhideWhenUsed/>
    <w:qFormat/>
    <w:uiPriority w:val="0"/>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0"/>
    <w:rPr>
      <w:sz w:val="28"/>
    </w:rPr>
  </w:style>
  <w:style w:type="paragraph" w:styleId="18">
    <w:name w:val="annotation subject"/>
    <w:basedOn w:val="10"/>
    <w:next w:val="10"/>
    <w:link w:val="46"/>
    <w:semiHidden/>
    <w:unhideWhenUsed/>
    <w:qFormat/>
    <w:uiPriority w:val="99"/>
    <w:rPr>
      <w:b/>
      <w:bCs/>
    </w:rPr>
  </w:style>
  <w:style w:type="paragraph" w:styleId="19">
    <w:name w:val="Body Text First Indent"/>
    <w:basedOn w:val="11"/>
    <w:link w:val="34"/>
    <w:qFormat/>
    <w:uiPriority w:val="0"/>
    <w:pPr>
      <w:spacing w:line="360" w:lineRule="auto"/>
      <w:ind w:firstLine="420"/>
    </w:pPr>
    <w:rPr>
      <w:rFonts w:ascii="宋体" w:hAnsi="宋体"/>
      <w:sz w:val="24"/>
    </w:rPr>
  </w:style>
  <w:style w:type="table" w:styleId="21">
    <w:name w:val="Table Grid"/>
    <w:basedOn w:val="2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basedOn w:val="22"/>
    <w:semiHidden/>
    <w:unhideWhenUsed/>
    <w:qFormat/>
    <w:uiPriority w:val="99"/>
    <w:rPr>
      <w:sz w:val="21"/>
      <w:szCs w:val="21"/>
    </w:rPr>
  </w:style>
  <w:style w:type="character" w:customStyle="1" w:styleId="25">
    <w:name w:val="页眉 字符"/>
    <w:basedOn w:val="22"/>
    <w:link w:val="16"/>
    <w:qFormat/>
    <w:uiPriority w:val="99"/>
    <w:rPr>
      <w:sz w:val="18"/>
      <w:szCs w:val="18"/>
    </w:rPr>
  </w:style>
  <w:style w:type="character" w:customStyle="1" w:styleId="26">
    <w:name w:val="页脚 字符"/>
    <w:basedOn w:val="22"/>
    <w:link w:val="15"/>
    <w:qFormat/>
    <w:uiPriority w:val="99"/>
    <w:rPr>
      <w:sz w:val="18"/>
      <w:szCs w:val="18"/>
    </w:rPr>
  </w:style>
  <w:style w:type="character" w:customStyle="1" w:styleId="27">
    <w:name w:val="标题 1 字符"/>
    <w:basedOn w:val="22"/>
    <w:link w:val="5"/>
    <w:qFormat/>
    <w:uiPriority w:val="99"/>
    <w:rPr>
      <w:b/>
      <w:bCs/>
      <w:kern w:val="44"/>
      <w:sz w:val="44"/>
      <w:szCs w:val="44"/>
    </w:rPr>
  </w:style>
  <w:style w:type="character" w:customStyle="1" w:styleId="28">
    <w:name w:val="标题 2 字符"/>
    <w:basedOn w:val="22"/>
    <w:link w:val="6"/>
    <w:qFormat/>
    <w:uiPriority w:val="0"/>
    <w:rPr>
      <w:rFonts w:ascii="Arial" w:hAnsi="Arial" w:eastAsia="仿宋"/>
      <w:b/>
      <w:bCs/>
      <w:sz w:val="28"/>
      <w:szCs w:val="32"/>
    </w:rPr>
  </w:style>
  <w:style w:type="character" w:customStyle="1" w:styleId="29">
    <w:name w:val="标题 3 字符"/>
    <w:basedOn w:val="22"/>
    <w:link w:val="7"/>
    <w:qFormat/>
    <w:uiPriority w:val="0"/>
    <w:rPr>
      <w:rFonts w:eastAsia="仿宋"/>
      <w:b/>
      <w:sz w:val="30"/>
    </w:rPr>
  </w:style>
  <w:style w:type="character" w:customStyle="1" w:styleId="30">
    <w:name w:val="正文文本 字符"/>
    <w:basedOn w:val="22"/>
    <w:link w:val="11"/>
    <w:qFormat/>
    <w:uiPriority w:val="0"/>
  </w:style>
  <w:style w:type="character" w:customStyle="1" w:styleId="31">
    <w:name w:val="批注文字 字符"/>
    <w:basedOn w:val="22"/>
    <w:link w:val="10"/>
    <w:qFormat/>
    <w:uiPriority w:val="0"/>
  </w:style>
  <w:style w:type="character" w:customStyle="1" w:styleId="32">
    <w:name w:val="正文文本缩进 2 字符"/>
    <w:basedOn w:val="22"/>
    <w:link w:val="14"/>
    <w:qFormat/>
    <w:uiPriority w:val="0"/>
    <w:rPr>
      <w:sz w:val="32"/>
    </w:rPr>
  </w:style>
  <w:style w:type="character" w:customStyle="1" w:styleId="33">
    <w:name w:val="副标题 字符"/>
    <w:basedOn w:val="22"/>
    <w:link w:val="17"/>
    <w:qFormat/>
    <w:uiPriority w:val="0"/>
    <w:rPr>
      <w:sz w:val="28"/>
    </w:rPr>
  </w:style>
  <w:style w:type="character" w:customStyle="1" w:styleId="34">
    <w:name w:val="正文首行缩进 字符"/>
    <w:basedOn w:val="30"/>
    <w:link w:val="19"/>
    <w:qFormat/>
    <w:uiPriority w:val="0"/>
    <w:rPr>
      <w:rFonts w:ascii="宋体" w:hAnsi="宋体"/>
      <w:sz w:val="24"/>
    </w:rPr>
  </w:style>
  <w:style w:type="paragraph" w:customStyle="1" w:styleId="35">
    <w:name w:val="13、表格内居中正文"/>
    <w:basedOn w:val="1"/>
    <w:qFormat/>
    <w:uiPriority w:val="0"/>
    <w:pPr>
      <w:wordWrap w:val="0"/>
      <w:topLinePunct/>
      <w:spacing w:line="360" w:lineRule="exact"/>
      <w:jc w:val="center"/>
    </w:pPr>
    <w:rPr>
      <w:rFonts w:ascii="宋体" w:hAnsi="宋体" w:eastAsia="宋体"/>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表格"/>
    <w:basedOn w:val="1"/>
    <w:qFormat/>
    <w:uiPriority w:val="0"/>
    <w:pPr>
      <w:spacing w:line="400" w:lineRule="exact"/>
    </w:pPr>
    <w:rPr>
      <w:sz w:val="24"/>
      <w:szCs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paragraph" w:customStyle="1" w:styleId="39">
    <w:name w:val="列出段落1"/>
    <w:basedOn w:val="1"/>
    <w:qFormat/>
    <w:uiPriority w:val="0"/>
    <w:pPr>
      <w:ind w:firstLine="420" w:firstLineChars="200"/>
    </w:pPr>
    <w:rPr>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2">
    <w:name w:val="font31"/>
    <w:qFormat/>
    <w:uiPriority w:val="0"/>
    <w:rPr>
      <w:rFonts w:hint="eastAsia" w:ascii="宋体" w:hAnsi="宋体" w:eastAsia="宋体" w:cs="宋体"/>
      <w:b/>
      <w:color w:val="000000"/>
      <w:sz w:val="22"/>
      <w:szCs w:val="22"/>
      <w:u w:val="none"/>
    </w:rPr>
  </w:style>
  <w:style w:type="character" w:customStyle="1" w:styleId="43">
    <w:name w:val="font21"/>
    <w:qFormat/>
    <w:uiPriority w:val="0"/>
    <w:rPr>
      <w:rFonts w:hint="eastAsia" w:ascii="宋体" w:hAnsi="宋体" w:eastAsia="宋体" w:cs="宋体"/>
      <w:color w:val="000000"/>
      <w:sz w:val="20"/>
      <w:szCs w:val="20"/>
      <w:u w:val="none"/>
    </w:rPr>
  </w:style>
  <w:style w:type="character" w:customStyle="1" w:styleId="44">
    <w:name w:val="font81"/>
    <w:qFormat/>
    <w:uiPriority w:val="0"/>
    <w:rPr>
      <w:rFonts w:hint="eastAsia" w:ascii="宋体" w:hAnsi="宋体" w:eastAsia="宋体" w:cs="宋体"/>
      <w:b/>
      <w:color w:val="000000"/>
      <w:sz w:val="22"/>
      <w:szCs w:val="22"/>
      <w:u w:val="none"/>
    </w:rPr>
  </w:style>
  <w:style w:type="character" w:customStyle="1" w:styleId="45">
    <w:name w:val="日期 字符"/>
    <w:basedOn w:val="22"/>
    <w:link w:val="13"/>
    <w:semiHidden/>
    <w:qFormat/>
    <w:uiPriority w:val="99"/>
    <w:rPr>
      <w:kern w:val="2"/>
      <w:sz w:val="21"/>
      <w:szCs w:val="22"/>
    </w:rPr>
  </w:style>
  <w:style w:type="character" w:customStyle="1" w:styleId="46">
    <w:name w:val="批注主题 字符"/>
    <w:basedOn w:val="31"/>
    <w:link w:val="18"/>
    <w:semiHidden/>
    <w:qFormat/>
    <w:uiPriority w:val="99"/>
    <w:rPr>
      <w:b/>
      <w:bCs/>
      <w:kern w:val="2"/>
      <w:sz w:val="21"/>
      <w:szCs w:val="22"/>
    </w:rPr>
  </w:style>
  <w:style w:type="paragraph" w:styleId="47">
    <w:name w:val="List Paragraph"/>
    <w:basedOn w:val="1"/>
    <w:uiPriority w:val="99"/>
    <w:pPr>
      <w:ind w:firstLine="420" w:firstLineChars="200"/>
    </w:pPr>
  </w:style>
  <w:style w:type="paragraph" w:customStyle="1" w:styleId="48">
    <w:name w:val="Table Paragraph"/>
    <w:basedOn w:val="1"/>
    <w:qFormat/>
    <w:uiPriority w:val="1"/>
    <w:rPr>
      <w:rFonts w:ascii="仿宋" w:hAnsi="仿宋" w:eastAsia="仿宋" w:cs="仿宋"/>
      <w:kern w:val="0"/>
      <w:sz w:val="34"/>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B578A-C6EB-420D-9FF1-68B582461E2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30</Pages>
  <Words>12964</Words>
  <Characters>13410</Characters>
  <Lines>103</Lines>
  <Paragraphs>29</Paragraphs>
  <TotalTime>319</TotalTime>
  <ScaleCrop>false</ScaleCrop>
  <LinksUpToDate>false</LinksUpToDate>
  <CharactersWithSpaces>13567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2023-06-25T01:07:45Z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BF2B1A6616854115B3000DA7DCFEEF67</vt:lpwstr>
  </property>
</Properties>
</file>