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6</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2"/>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val="en-US" w:eastAsia="zh-CN"/>
        </w:rPr>
        <w:t>2023-2024学年油印教材印制服务</w:t>
      </w:r>
      <w:r>
        <w:rPr>
          <w:rFonts w:hint="eastAsia" w:ascii="宋体" w:hAnsi="宋体" w:eastAsia="宋体" w:cs="Times New Roman"/>
          <w:sz w:val="24"/>
          <w:szCs w:val="24"/>
        </w:rPr>
        <w:t>项目</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lang w:val="en-US" w:eastAsia="zh-CN"/>
        </w:rPr>
        <w:t>2023-2024学年油印教材印制服务</w:t>
      </w:r>
      <w:r>
        <w:rPr>
          <w:rFonts w:hint="eastAsia" w:ascii="宋体" w:hAnsi="宋体" w:eastAsia="宋体" w:cs="Times New Roman"/>
          <w:sz w:val="24"/>
          <w:szCs w:val="24"/>
        </w:rPr>
        <w:t>项目</w:t>
      </w:r>
    </w:p>
    <w:p>
      <w:pPr>
        <w:spacing w:line="360" w:lineRule="auto"/>
        <w:ind w:firstLine="482" w:firstLineChars="200"/>
        <w:outlineLvl w:val="1"/>
        <w:rPr>
          <w:rFonts w:hint="default" w:ascii="宋体" w:hAnsi="宋体" w:eastAsia="宋体" w:cs="Times New Roman"/>
          <w:sz w:val="24"/>
          <w:szCs w:val="24"/>
          <w:lang w:val="en-US" w:eastAsia="zh-CN"/>
        </w:rPr>
      </w:pPr>
      <w:r>
        <w:rPr>
          <w:rFonts w:hint="eastAsia" w:ascii="宋体" w:hAnsi="宋体" w:eastAsia="宋体" w:cs="Times New Roman"/>
          <w:b/>
          <w:sz w:val="24"/>
          <w:szCs w:val="24"/>
        </w:rPr>
        <w:t>二、项目编号：</w:t>
      </w:r>
      <w:r>
        <w:rPr>
          <w:rFonts w:hint="eastAsia" w:ascii="宋体" w:hAnsi="宋体" w:eastAsia="宋体" w:cs="Times New Roman"/>
          <w:sz w:val="24"/>
          <w:szCs w:val="24"/>
          <w:lang w:val="en-US" w:eastAsia="zh-CN"/>
        </w:rPr>
        <w:t>CTZY-CG-2023002</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6</w:t>
      </w:r>
      <w:r>
        <w:rPr>
          <w:rFonts w:ascii="宋体" w:hAnsi="宋体" w:eastAsia="宋体" w:cs="Times New Roman"/>
          <w:sz w:val="24"/>
          <w:szCs w:val="24"/>
        </w:rPr>
        <w:t>月</w:t>
      </w:r>
      <w:r>
        <w:rPr>
          <w:rFonts w:hint="eastAsia" w:ascii="宋体" w:hAnsi="宋体" w:eastAsia="宋体" w:cs="Times New Roman"/>
          <w:sz w:val="24"/>
          <w:szCs w:val="24"/>
          <w:lang w:val="en-US" w:eastAsia="zh-CN"/>
        </w:rPr>
        <w:t>14</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2"/>
        <w:spacing w:after="0"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.比选申请文件应在参加比选时间前送达比选地点并进行现场签到，若不现场签到的文件将被拒收。</w:t>
      </w:r>
    </w:p>
    <w:p>
      <w:pPr>
        <w:pStyle w:val="2"/>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4"/>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2"/>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邓</w:t>
      </w:r>
      <w:r>
        <w:rPr>
          <w:rFonts w:hint="eastAsia" w:ascii="宋体" w:hAnsi="宋体" w:eastAsia="宋体" w:cs="Times New Roman"/>
          <w:sz w:val="24"/>
          <w:szCs w:val="24"/>
        </w:rPr>
        <w:t>老师</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联系电话：</w:t>
      </w:r>
      <w:r>
        <w:rPr>
          <w:rFonts w:hint="eastAsia" w:ascii="宋体" w:hAnsi="宋体" w:eastAsia="宋体" w:cs="Times New Roman"/>
          <w:sz w:val="24"/>
          <w:szCs w:val="24"/>
          <w:lang w:val="en-US" w:eastAsia="zh-CN"/>
        </w:rPr>
        <w:t>028-</w:t>
      </w:r>
      <w:r>
        <w:rPr>
          <w:rFonts w:hint="eastAsia" w:ascii="宋体" w:hAnsi="宋体" w:eastAsia="宋体" w:cs="Times New Roman"/>
          <w:sz w:val="24"/>
          <w:szCs w:val="24"/>
        </w:rPr>
        <w:t>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68939887</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18147"/>
      <w:bookmarkStart w:id="3" w:name="_Toc2367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cstheme="minorBidi"/>
                <w:bCs/>
                <w:color w:val="000000" w:themeColor="text1"/>
                <w:kern w:val="2"/>
                <w:sz w:val="21"/>
                <w:szCs w:val="21"/>
                <w:lang w:val="zh-CN"/>
                <w14:textFill>
                  <w14:solidFill>
                    <w14:schemeClr w14:val="tx1"/>
                  </w14:solidFill>
                </w14:textFill>
              </w:rPr>
              <w:t xml:space="preserve"> </w:t>
            </w:r>
            <w:r>
              <w:rPr>
                <w:rFonts w:hint="eastAsia" w:cstheme="minorBidi"/>
                <w:bCs/>
                <w:color w:val="000000" w:themeColor="text1"/>
                <w:kern w:val="2"/>
                <w:sz w:val="21"/>
                <w:szCs w:val="21"/>
                <w14:textFill>
                  <w14:solidFill>
                    <w14:schemeClr w14:val="tx1"/>
                  </w14:solidFill>
                </w14:textFill>
              </w:rPr>
              <w:t>1</w:t>
            </w:r>
            <w:r>
              <w:rPr>
                <w:rFonts w:hint="eastAsia" w:cstheme="minorBidi"/>
                <w:bCs/>
                <w:color w:val="000000" w:themeColor="text1"/>
                <w:kern w:val="2"/>
                <w:sz w:val="21"/>
                <w:szCs w:val="21"/>
                <w:lang w:val="en-US" w:eastAsia="zh-CN"/>
                <w14:textFill>
                  <w14:solidFill>
                    <w14:schemeClr w14:val="tx1"/>
                  </w14:solidFill>
                </w14:textFill>
              </w:rPr>
              <w:t>2</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1</w:t>
            </w:r>
            <w:r>
              <w:rPr>
                <w:rFonts w:hint="eastAsia" w:cstheme="minorBidi"/>
                <w:bCs/>
                <w:color w:val="000000" w:themeColor="text1"/>
                <w:kern w:val="2"/>
                <w:sz w:val="21"/>
                <w:szCs w:val="21"/>
                <w:lang w:val="en-US" w:eastAsia="zh-CN"/>
                <w14:textFill>
                  <w14:solidFill>
                    <w14:schemeClr w14:val="tx1"/>
                  </w14:solidFill>
                </w14:textFill>
              </w:rPr>
              <w:t>2</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217446044"/>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5"/>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21744605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174151"/>
      <w:bookmarkStart w:id="17" w:name="_Toc209847069"/>
      <w:bookmarkStart w:id="18" w:name="_Toc101338364"/>
      <w:bookmarkStart w:id="19" w:name="_Toc430773927"/>
      <w:bookmarkStart w:id="20" w:name="_Toc101250646"/>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8"/>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240" w:firstLineChars="100"/>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我校校本教材油印资料一般包括文本教材与图册。文本教材规格一般采用A4纸张大小（尺寸：210mm*285mm），图册规格一般采用A3纸张大小；校编教材内页使用80克轻印纸，封面使用230克皮纹纸。</w:t>
      </w:r>
    </w:p>
    <w:p>
      <w:pPr>
        <w:spacing w:line="360" w:lineRule="auto"/>
        <w:ind w:firstLine="480" w:firstLineChars="200"/>
        <w:rPr>
          <w:rFonts w:hint="eastAsia" w:ascii="宋体" w:hAnsi="宋体" w:eastAsia="宋体" w:cs="Times New Roman"/>
          <w:sz w:val="24"/>
          <w:szCs w:val="24"/>
          <w:lang w:val="zh-CN" w:eastAsia="zh-CN"/>
        </w:rPr>
      </w:pPr>
      <w:r>
        <w:rPr>
          <w:rFonts w:hint="eastAsia" w:ascii="宋体" w:hAnsi="宋体" w:eastAsia="宋体" w:cs="Times New Roman"/>
          <w:sz w:val="24"/>
          <w:szCs w:val="24"/>
          <w:lang w:val="en-US" w:eastAsia="zh-CN"/>
        </w:rPr>
        <w:t>因所需印制的校本教材种类各异，且每本教材篇幅及字数不同，所以本次采取以所报单价（含纸张、制版、装订、运输等费用）为基准，确定每本印制教材的单价，即教材单价=内页数量×纸张单价+封面价。</w:t>
      </w:r>
    </w:p>
    <w:p>
      <w:pPr>
        <w:snapToGrid w:val="0"/>
        <w:spacing w:line="560" w:lineRule="exact"/>
        <w:ind w:firstLine="281" w:firstLineChars="100"/>
        <w:textAlignment w:val="baseline"/>
        <w:outlineLvl w:val="1"/>
        <w:rPr>
          <w:rFonts w:hAnsi="宋体"/>
          <w:sz w:val="24"/>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下表为我校2023-2024学年暂拟定的教材计划，供各供应商报价作参考依据，最终以我校提供的实际订单为准，结算金额以我校提供的实际订单册数为准。</w:t>
      </w:r>
    </w:p>
    <w:tbl>
      <w:tblPr>
        <w:tblStyle w:val="17"/>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835"/>
        <w:gridCol w:w="1725"/>
        <w:gridCol w:w="1710"/>
        <w:gridCol w:w="1080"/>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blHeader/>
          <w:jc w:val="center"/>
        </w:trPr>
        <w:tc>
          <w:tcPr>
            <w:tcW w:w="55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序序号</w:t>
            </w:r>
          </w:p>
        </w:tc>
        <w:tc>
          <w:tcPr>
            <w:tcW w:w="2835" w:type="dxa"/>
            <w:noWrap/>
            <w:vAlign w:val="center"/>
          </w:tcPr>
          <w:p>
            <w:pPr>
              <w:spacing w:line="360" w:lineRule="auto"/>
              <w:ind w:firstLine="960" w:firstLineChars="4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名称</w:t>
            </w:r>
          </w:p>
        </w:tc>
        <w:tc>
          <w:tcPr>
            <w:tcW w:w="1725" w:type="dxa"/>
            <w:noWrap w:val="0"/>
            <w:vAlign w:val="center"/>
          </w:tcPr>
          <w:p>
            <w:pPr>
              <w:spacing w:line="360" w:lineRule="auto"/>
              <w:ind w:firstLine="240" w:firstLineChars="10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封面规格</w:t>
            </w:r>
          </w:p>
        </w:tc>
        <w:tc>
          <w:tcPr>
            <w:tcW w:w="1710" w:type="dxa"/>
            <w:noWrap w:val="0"/>
            <w:vAlign w:val="center"/>
          </w:tcPr>
          <w:p>
            <w:pPr>
              <w:spacing w:line="360" w:lineRule="auto"/>
              <w:ind w:firstLine="240" w:firstLineChars="1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内页规格</w:t>
            </w:r>
          </w:p>
        </w:tc>
        <w:tc>
          <w:tcPr>
            <w:tcW w:w="1080" w:type="dxa"/>
            <w:noWrap/>
            <w:vAlign w:val="center"/>
          </w:tcPr>
          <w:p>
            <w:pPr>
              <w:spacing w:line="360" w:lineRule="auto"/>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内页页数（最终以实际排版为准）</w:t>
            </w:r>
          </w:p>
        </w:tc>
        <w:tc>
          <w:tcPr>
            <w:tcW w:w="1074" w:type="dxa"/>
            <w:noWrap/>
            <w:vAlign w:val="center"/>
          </w:tcPr>
          <w:p>
            <w:pPr>
              <w:spacing w:line="360" w:lineRule="auto"/>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印制册数（最终以实际订单为准）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p>
        </w:tc>
        <w:tc>
          <w:tcPr>
            <w:tcW w:w="283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安全用电实训指导书</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0"/>
            <w:vAlign w:val="center"/>
          </w:tcPr>
          <w:p>
            <w:pPr>
              <w:spacing w:line="360" w:lineRule="auto"/>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32</w:t>
            </w:r>
          </w:p>
        </w:tc>
        <w:tc>
          <w:tcPr>
            <w:tcW w:w="1074" w:type="dxa"/>
            <w:shd w:val="clear" w:color="000000" w:fill="FFFFFF"/>
            <w:noWrap/>
            <w:vAlign w:val="center"/>
          </w:tcPr>
          <w:p>
            <w:pPr>
              <w:spacing w:line="360" w:lineRule="auto"/>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p>
        </w:tc>
        <w:tc>
          <w:tcPr>
            <w:tcW w:w="283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车辆驾驶控制系统</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0"/>
            <w:vAlign w:val="center"/>
          </w:tcPr>
          <w:p>
            <w:pPr>
              <w:spacing w:line="360" w:lineRule="auto"/>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115</w:t>
            </w:r>
          </w:p>
        </w:tc>
        <w:tc>
          <w:tcPr>
            <w:tcW w:w="1074" w:type="dxa"/>
            <w:shd w:val="clear" w:color="000000" w:fill="FFFFFF"/>
            <w:noWrap/>
            <w:vAlign w:val="center"/>
          </w:tcPr>
          <w:p>
            <w:pPr>
              <w:spacing w:line="360" w:lineRule="auto"/>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p>
        </w:tc>
        <w:tc>
          <w:tcPr>
            <w:tcW w:w="283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城轨车辆设备的专项维护与检修（二）</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0"/>
            <w:vAlign w:val="center"/>
          </w:tcPr>
          <w:p>
            <w:pPr>
              <w:spacing w:line="360" w:lineRule="auto"/>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108</w:t>
            </w:r>
          </w:p>
        </w:tc>
        <w:tc>
          <w:tcPr>
            <w:tcW w:w="1074" w:type="dxa"/>
            <w:shd w:val="clear" w:color="000000" w:fill="FFFFFF"/>
            <w:noWrap/>
            <w:vAlign w:val="center"/>
          </w:tcPr>
          <w:p>
            <w:pPr>
              <w:spacing w:line="360" w:lineRule="auto"/>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w:t>
            </w:r>
          </w:p>
        </w:tc>
        <w:tc>
          <w:tcPr>
            <w:tcW w:w="283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城轨车辆设备的专项维护与检修（一）</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0"/>
            <w:vAlign w:val="center"/>
          </w:tcPr>
          <w:p>
            <w:pPr>
              <w:spacing w:line="360" w:lineRule="auto"/>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76</w:t>
            </w:r>
          </w:p>
        </w:tc>
        <w:tc>
          <w:tcPr>
            <w:tcW w:w="1074" w:type="dxa"/>
            <w:shd w:val="clear" w:color="000000" w:fill="FFFFFF"/>
            <w:noWrap/>
            <w:vAlign w:val="center"/>
          </w:tcPr>
          <w:p>
            <w:pPr>
              <w:spacing w:line="360" w:lineRule="auto"/>
              <w:ind w:firstLine="480" w:firstLineChars="20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p>
        </w:tc>
        <w:tc>
          <w:tcPr>
            <w:tcW w:w="2835"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地铁安规及管理</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81</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p>
        </w:tc>
        <w:tc>
          <w:tcPr>
            <w:tcW w:w="283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地铁接触网屏面布置图册</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50</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w:t>
            </w:r>
          </w:p>
        </w:tc>
        <w:tc>
          <w:tcPr>
            <w:tcW w:w="283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地铁接触网综合实训指导书</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151</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p>
        </w:tc>
        <w:tc>
          <w:tcPr>
            <w:tcW w:w="283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电机电拖实验指导书</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42</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w:t>
            </w:r>
          </w:p>
        </w:tc>
        <w:tc>
          <w:tcPr>
            <w:tcW w:w="2835"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电机实训指导书</w:t>
            </w:r>
          </w:p>
        </w:tc>
        <w:tc>
          <w:tcPr>
            <w:tcW w:w="1725"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49</w:t>
            </w:r>
          </w:p>
        </w:tc>
        <w:tc>
          <w:tcPr>
            <w:tcW w:w="1074"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p>
        </w:tc>
        <w:tc>
          <w:tcPr>
            <w:tcW w:w="2835" w:type="dxa"/>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电客车驾驶与故障处理</w:t>
            </w:r>
          </w:p>
        </w:tc>
        <w:tc>
          <w:tcPr>
            <w:tcW w:w="1725"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136</w:t>
            </w:r>
          </w:p>
        </w:tc>
        <w:tc>
          <w:tcPr>
            <w:tcW w:w="1074"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c>
          <w:tcPr>
            <w:tcW w:w="2835" w:type="dxa"/>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电力电子实训指导书</w:t>
            </w:r>
          </w:p>
        </w:tc>
        <w:tc>
          <w:tcPr>
            <w:tcW w:w="1725"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98</w:t>
            </w:r>
          </w:p>
        </w:tc>
        <w:tc>
          <w:tcPr>
            <w:tcW w:w="1074"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w:t>
            </w:r>
          </w:p>
        </w:tc>
        <w:tc>
          <w:tcPr>
            <w:tcW w:w="2835" w:type="dxa"/>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电力外线基本技能实训指导书</w:t>
            </w:r>
          </w:p>
        </w:tc>
        <w:tc>
          <w:tcPr>
            <w:tcW w:w="1725"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58</w:t>
            </w:r>
          </w:p>
        </w:tc>
        <w:tc>
          <w:tcPr>
            <w:tcW w:w="1074"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w:t>
            </w:r>
          </w:p>
        </w:tc>
        <w:tc>
          <w:tcPr>
            <w:tcW w:w="2835" w:type="dxa"/>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电路测量实验及电工实训指导教程</w:t>
            </w:r>
          </w:p>
        </w:tc>
        <w:tc>
          <w:tcPr>
            <w:tcW w:w="1725" w:type="dxa"/>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128</w:t>
            </w:r>
          </w:p>
        </w:tc>
        <w:tc>
          <w:tcPr>
            <w:tcW w:w="1074"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w:t>
            </w:r>
          </w:p>
        </w:tc>
        <w:tc>
          <w:tcPr>
            <w:tcW w:w="2835" w:type="dxa"/>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电气控制线路安装实训指导书</w:t>
            </w:r>
          </w:p>
        </w:tc>
        <w:tc>
          <w:tcPr>
            <w:tcW w:w="1725" w:type="dxa"/>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40</w:t>
            </w:r>
          </w:p>
        </w:tc>
        <w:tc>
          <w:tcPr>
            <w:tcW w:w="1074" w:type="dxa"/>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电器综合实训指导书</w:t>
            </w:r>
          </w:p>
        </w:tc>
        <w:tc>
          <w:tcPr>
            <w:tcW w:w="1725"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88</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电子实训指导书</w:t>
            </w:r>
          </w:p>
        </w:tc>
        <w:tc>
          <w:tcPr>
            <w:tcW w:w="1725"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28</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17</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二次线安装与故障排查实训指导书</w:t>
            </w:r>
          </w:p>
        </w:tc>
        <w:tc>
          <w:tcPr>
            <w:tcW w:w="1725"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18</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高铁信号设备构造与维护</w:t>
            </w:r>
          </w:p>
        </w:tc>
        <w:tc>
          <w:tcPr>
            <w:tcW w:w="1725"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168</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19</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工程测量实训及实习指导书</w:t>
            </w:r>
          </w:p>
        </w:tc>
        <w:tc>
          <w:tcPr>
            <w:tcW w:w="1725"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58</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20</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机械制造基础</w:t>
            </w:r>
          </w:p>
        </w:tc>
        <w:tc>
          <w:tcPr>
            <w:tcW w:w="1725"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260</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21</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接触网屏面布置图册</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50</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22</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接触网综合实训指导书</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151</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23</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联锁设备检修与维护</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159</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0" w:type="dxa"/>
            <w:shd w:val="clear" w:color="auto" w:fill="auto"/>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24</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列车牵引控制系统综合运用实训手册</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102</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0" w:type="dxa"/>
            <w:shd w:val="clear" w:color="auto" w:fill="auto"/>
            <w:noWrap/>
            <w:vAlign w:val="center"/>
          </w:tcPr>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25</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模拟变电所综合自动化系统电路图册 模拟变电所交直流系统电路图册</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56</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0" w:type="dxa"/>
            <w:shd w:val="clear" w:color="auto" w:fill="auto"/>
            <w:noWrap/>
            <w:vAlign w:val="center"/>
          </w:tcPr>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26</w:t>
            </w:r>
          </w:p>
        </w:tc>
        <w:tc>
          <w:tcPr>
            <w:tcW w:w="2835"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钳工实训指导书</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73</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0" w:type="dxa"/>
            <w:shd w:val="clear" w:color="auto" w:fill="auto"/>
            <w:noWrap/>
            <w:vAlign w:val="center"/>
          </w:tcPr>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27</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施工工种实训指导书</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24</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0" w:type="dxa"/>
            <w:shd w:val="clear" w:color="auto" w:fill="auto"/>
            <w:noWrap/>
            <w:vAlign w:val="center"/>
          </w:tcPr>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28</w:t>
            </w:r>
          </w:p>
        </w:tc>
        <w:tc>
          <w:tcPr>
            <w:tcW w:w="2835" w:type="dxa"/>
            <w:shd w:val="clear" w:color="000000" w:fill="FFFFFF"/>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铁道工务实训作业指导书</w:t>
            </w:r>
          </w:p>
        </w:tc>
        <w:tc>
          <w:tcPr>
            <w:tcW w:w="1725"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纸张：230克皮纹纸，尺寸：420*297</w:t>
            </w:r>
          </w:p>
        </w:tc>
        <w:tc>
          <w:tcPr>
            <w:tcW w:w="1710" w:type="dxa"/>
            <w:shd w:val="clear" w:color="000000" w:fill="FFFFFF"/>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纸张：80克轻印纸，尺寸：210*285</w:t>
            </w:r>
          </w:p>
        </w:tc>
        <w:tc>
          <w:tcPr>
            <w:tcW w:w="1080"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151</w:t>
            </w:r>
          </w:p>
        </w:tc>
        <w:tc>
          <w:tcPr>
            <w:tcW w:w="1074" w:type="dxa"/>
            <w:shd w:val="clear" w:color="000000" w:fill="FFFFFF"/>
            <w:noWrap/>
            <w:vAlign w:val="center"/>
          </w:tcPr>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974" w:type="dxa"/>
            <w:gridSpan w:val="6"/>
            <w:shd w:val="clear" w:color="auto" w:fill="auto"/>
            <w:noWrap/>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备注：比选申请人应根据我校用纸要求提供纸张单价报价并提供样书(以规格A4大小，内页30页为例提供)</w:t>
            </w:r>
          </w:p>
        </w:tc>
      </w:tr>
    </w:tbl>
    <w:p>
      <w:pPr>
        <w:keepNext w:val="0"/>
        <w:keepLines w:val="0"/>
        <w:pageBreakBefore w:val="0"/>
        <w:widowControl w:val="0"/>
        <w:numPr>
          <w:ilvl w:val="0"/>
          <w:numId w:val="2"/>
        </w:numPr>
        <w:kinsoku/>
        <w:wordWrap/>
        <w:overflowPunct/>
        <w:topLinePunct w:val="0"/>
        <w:autoSpaceDE/>
        <w:autoSpaceDN/>
        <w:bidi w:val="0"/>
        <w:adjustRightInd w:val="0"/>
        <w:snapToGrid/>
        <w:spacing w:line="500" w:lineRule="exact"/>
        <w:ind w:left="0" w:leftChars="0" w:firstLine="562" w:firstLineChars="200"/>
        <w:jc w:val="left"/>
        <w:textAlignment w:val="auto"/>
        <w:rPr>
          <w:rFonts w:hint="eastAsia" w:ascii="宋体" w:hAnsi="宋体" w:eastAsia="宋体" w:cs="仿宋"/>
          <w:b/>
          <w:bCs/>
          <w:sz w:val="28"/>
          <w:szCs w:val="24"/>
          <w:lang w:val="zh-CN"/>
        </w:rPr>
      </w:pPr>
      <w:r>
        <w:rPr>
          <w:rFonts w:hint="eastAsia" w:ascii="宋体" w:hAnsi="宋体" w:eastAsia="宋体" w:cs="仿宋"/>
          <w:b/>
          <w:bCs/>
          <w:sz w:val="28"/>
          <w:szCs w:val="24"/>
          <w:lang w:val="zh-CN"/>
        </w:rPr>
        <w:t>服务要求</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（1）供应商所印制的印刷品必须字迹清晰、墨色纯正、装订整齐牢固、尺寸标准、数量准确；</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（2）印刷品要做到外包装无破损，无污染，出现错印，漏印，图文模糊、装订破损等技术性失误，应由供应商全权负责并在不影响学院教学秩序时间内重印订单。</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（3）供应商应在双方商定的时限内及时准确的将产品送达指定地点，并协助学校工作人员分类清点、入库上架。</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（4）供应商还须保证学院所需印制的自编教材、资料在印制过程中不外泄，如若外泄，造成的后果及经济纠纷，均由供应商全权负责。</w:t>
      </w:r>
    </w:p>
    <w:p>
      <w:pPr>
        <w:spacing w:line="360" w:lineRule="auto"/>
        <w:rPr>
          <w:rFonts w:hint="eastAsia" w:ascii="宋体" w:hAnsi="宋体" w:eastAsia="宋体" w:cs="Times New Roman"/>
          <w:sz w:val="24"/>
          <w:szCs w:val="24"/>
          <w:lang w:val="zh-CN" w:eastAsia="zh-CN"/>
        </w:rPr>
      </w:pPr>
      <w:r>
        <w:rPr>
          <w:rFonts w:hint="eastAsia" w:ascii="宋体" w:hAnsi="宋体" w:eastAsia="宋体" w:cs="Times New Roman"/>
          <w:sz w:val="24"/>
          <w:szCs w:val="24"/>
          <w:lang w:val="en-US" w:eastAsia="zh-CN"/>
        </w:rPr>
        <w:t>（5）专业课教学资料印刷品至少免费配备5本作为参考用书；公共教学资料印刷品至少免费配备5本作为参考用书。</w:t>
      </w:r>
    </w:p>
    <w:p>
      <w:pPr>
        <w:numPr>
          <w:ilvl w:val="0"/>
          <w:numId w:val="6"/>
        </w:numPr>
        <w:autoSpaceDE w:val="0"/>
        <w:autoSpaceDN w:val="0"/>
        <w:spacing w:line="520" w:lineRule="exact"/>
        <w:ind w:firstLine="562" w:firstLine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tbl>
      <w:tblPr>
        <w:tblStyle w:val="17"/>
        <w:tblW w:w="508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7"/>
        <w:gridCol w:w="1624"/>
        <w:gridCol w:w="69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6" w:type="pct"/>
            <w:vAlign w:val="center"/>
          </w:tcPr>
          <w:p>
            <w:pPr>
              <w:pStyle w:val="36"/>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序号</w:t>
            </w:r>
          </w:p>
        </w:tc>
        <w:tc>
          <w:tcPr>
            <w:tcW w:w="889" w:type="pct"/>
            <w:vAlign w:val="center"/>
          </w:tcPr>
          <w:p>
            <w:pPr>
              <w:pStyle w:val="36"/>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内容</w:t>
            </w:r>
          </w:p>
        </w:tc>
        <w:tc>
          <w:tcPr>
            <w:tcW w:w="3794" w:type="pct"/>
            <w:vAlign w:val="center"/>
          </w:tcPr>
          <w:p>
            <w:pPr>
              <w:pStyle w:val="36"/>
              <w:spacing w:line="300" w:lineRule="auto"/>
              <w:ind w:left="210" w:leftChars="100"/>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6"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1</w:t>
            </w:r>
          </w:p>
        </w:tc>
        <w:tc>
          <w:tcPr>
            <w:tcW w:w="889"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项目完成时间</w:t>
            </w:r>
          </w:p>
        </w:tc>
        <w:tc>
          <w:tcPr>
            <w:tcW w:w="3794" w:type="pct"/>
            <w:vAlign w:val="center"/>
          </w:tcPr>
          <w:p>
            <w:pPr>
              <w:pStyle w:val="36"/>
              <w:spacing w:line="300" w:lineRule="auto"/>
              <w:ind w:left="210" w:leftChars="100"/>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春季与秋季印刷品均须于开学前一周内100%送至学院指定位置；对于临时追加的印刷品，供应商应在收到订单后七日内完成印刷及送货。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6"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2</w:t>
            </w:r>
          </w:p>
        </w:tc>
        <w:tc>
          <w:tcPr>
            <w:tcW w:w="889"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项目实施地点</w:t>
            </w:r>
          </w:p>
        </w:tc>
        <w:tc>
          <w:tcPr>
            <w:tcW w:w="3794" w:type="pct"/>
            <w:vAlign w:val="center"/>
          </w:tcPr>
          <w:p>
            <w:pPr>
              <w:pStyle w:val="36"/>
              <w:spacing w:line="300" w:lineRule="auto"/>
              <w:ind w:left="210" w:leftChars="100"/>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比选人指定地点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4" w:hRule="atLeast"/>
          <w:jc w:val="center"/>
        </w:trPr>
        <w:tc>
          <w:tcPr>
            <w:tcW w:w="316"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3</w:t>
            </w:r>
          </w:p>
        </w:tc>
        <w:tc>
          <w:tcPr>
            <w:tcW w:w="889"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售后服务期</w:t>
            </w:r>
          </w:p>
        </w:tc>
        <w:tc>
          <w:tcPr>
            <w:tcW w:w="3794" w:type="pct"/>
            <w:vAlign w:val="center"/>
          </w:tcPr>
          <w:p>
            <w:pPr>
              <w:pStyle w:val="36"/>
              <w:spacing w:line="300" w:lineRule="auto"/>
              <w:ind w:left="210" w:leftChars="100"/>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采购合同签订之日起</w:t>
            </w:r>
            <w:r>
              <w:rPr>
                <w:rFonts w:hint="eastAsia"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zh-CN" w:eastAsia="zh-CN" w:bidi="ar-SA"/>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6" w:type="pct"/>
            <w:vAlign w:val="center"/>
          </w:tcPr>
          <w:p>
            <w:pPr>
              <w:pStyle w:val="36"/>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889"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报价</w:t>
            </w:r>
          </w:p>
        </w:tc>
        <w:tc>
          <w:tcPr>
            <w:tcW w:w="3794" w:type="pct"/>
            <w:vAlign w:val="center"/>
          </w:tcPr>
          <w:p>
            <w:pPr>
              <w:pStyle w:val="36"/>
              <w:spacing w:line="300" w:lineRule="auto"/>
              <w:ind w:left="210" w:leftChars="100"/>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6" w:type="pct"/>
            <w:vAlign w:val="center"/>
          </w:tcPr>
          <w:p>
            <w:pPr>
              <w:pStyle w:val="36"/>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w:t>
            </w:r>
          </w:p>
        </w:tc>
        <w:tc>
          <w:tcPr>
            <w:tcW w:w="889"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合同价款支付</w:t>
            </w:r>
          </w:p>
        </w:tc>
        <w:tc>
          <w:tcPr>
            <w:tcW w:w="3794" w:type="pct"/>
            <w:vAlign w:val="center"/>
          </w:tcPr>
          <w:p>
            <w:pPr>
              <w:pStyle w:val="36"/>
              <w:spacing w:line="300" w:lineRule="auto"/>
              <w:ind w:firstLine="240" w:firstLineChars="100"/>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w:t>
            </w:r>
            <w:r>
              <w:rPr>
                <w:rFonts w:hint="eastAsia"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zh-CN" w:eastAsia="zh-CN" w:bidi="ar-SA"/>
              </w:rPr>
              <w:t>）春季印刷品在当年5月前完成付款，秋季印刷品在当年12月前完成付款，临时追加的印刷品合并到上述两个时段一并付款。</w:t>
            </w:r>
          </w:p>
          <w:p>
            <w:pPr>
              <w:pStyle w:val="36"/>
              <w:spacing w:line="300" w:lineRule="auto"/>
              <w:ind w:left="210" w:leftChars="100"/>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zh-CN" w:eastAsia="zh-CN" w:bidi="ar-SA"/>
              </w:rPr>
              <w:t>（</w:t>
            </w:r>
            <w:r>
              <w:rPr>
                <w:rFonts w:hint="eastAsia"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zh-CN" w:eastAsia="zh-CN" w:bidi="ar-SA"/>
              </w:rPr>
              <w:t>）本项目未支付的合同价款不计利息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6" w:type="pct"/>
            <w:vAlign w:val="center"/>
          </w:tcPr>
          <w:p>
            <w:pPr>
              <w:pStyle w:val="36"/>
              <w:spacing w:line="300" w:lineRule="auto"/>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w:t>
            </w:r>
          </w:p>
        </w:tc>
        <w:tc>
          <w:tcPr>
            <w:tcW w:w="889" w:type="pct"/>
            <w:vAlign w:val="center"/>
          </w:tcPr>
          <w:p>
            <w:pPr>
              <w:pStyle w:val="36"/>
              <w:spacing w:line="300" w:lineRule="auto"/>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履约验收</w:t>
            </w:r>
          </w:p>
        </w:tc>
        <w:tc>
          <w:tcPr>
            <w:tcW w:w="3794" w:type="pct"/>
            <w:vAlign w:val="center"/>
          </w:tcPr>
          <w:p>
            <w:pPr>
              <w:pStyle w:val="36"/>
              <w:spacing w:line="300" w:lineRule="auto"/>
              <w:ind w:left="210" w:leftChars="100"/>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参照《财政部关于进一步加强政府采购需求和履约验收管理的指导意见》（财库〔2016〕205号）《政府采购需求管理办法》（财库〔2021〕22号）等相关法律法规的要求进行履约验收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6" w:type="pct"/>
            <w:vAlign w:val="center"/>
          </w:tcPr>
          <w:p>
            <w:pPr>
              <w:pStyle w:val="36"/>
              <w:spacing w:line="300" w:lineRule="auto"/>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w:t>
            </w:r>
          </w:p>
        </w:tc>
        <w:tc>
          <w:tcPr>
            <w:tcW w:w="889" w:type="pct"/>
            <w:vAlign w:val="center"/>
          </w:tcPr>
          <w:p>
            <w:pPr>
              <w:pStyle w:val="36"/>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保险</w:t>
            </w:r>
          </w:p>
        </w:tc>
        <w:tc>
          <w:tcPr>
            <w:tcW w:w="3794" w:type="pct"/>
            <w:vAlign w:val="center"/>
          </w:tcPr>
          <w:p>
            <w:pPr>
              <w:pStyle w:val="36"/>
              <w:spacing w:line="300" w:lineRule="auto"/>
              <w:ind w:left="210" w:leftChars="100"/>
              <w:jc w:val="both"/>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en-US" w:eastAsia="zh-CN" w:bidi="ar-SA"/>
              </w:rPr>
              <w:t>比选申请人自行运输标的物或委托承运人运输的，应为该批货物购买货物运输保险及运输工具航程保险，其损毁、灭失的风险自合同成立时起由比选申请人承担。</w:t>
            </w:r>
          </w:p>
        </w:tc>
      </w:tr>
    </w:tbl>
    <w:p>
      <w:pPr>
        <w:pStyle w:val="2"/>
        <w:rPr>
          <w:rFonts w:hint="eastAsia" w:ascii="宋体" w:hAnsi="宋体" w:eastAsia="宋体" w:cs="Times New Roman"/>
          <w:kern w:val="2"/>
          <w:sz w:val="24"/>
          <w:szCs w:val="24"/>
          <w:lang w:val="zh-CN" w:eastAsia="zh-CN" w:bidi="ar-SA"/>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3"/>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一、评</w:t>
      </w:r>
      <w:r>
        <w:rPr>
          <w:rFonts w:hint="eastAsia" w:ascii="宋体" w:hAnsi="宋体" w:eastAsia="宋体"/>
          <w:sz w:val="24"/>
          <w:szCs w:val="24"/>
          <w:lang w:eastAsia="zh-CN"/>
        </w:rPr>
        <w:t>审</w:t>
      </w:r>
      <w:r>
        <w:rPr>
          <w:rFonts w:hint="eastAsia" w:ascii="宋体" w:hAnsi="宋体" w:eastAsia="宋体"/>
          <w:sz w:val="24"/>
          <w:szCs w:val="24"/>
        </w:rPr>
        <w:t>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本次评</w:t>
      </w:r>
      <w:r>
        <w:rPr>
          <w:rFonts w:hint="eastAsia" w:ascii="宋体" w:hAnsi="宋体" w:eastAsia="宋体"/>
          <w:sz w:val="24"/>
          <w:szCs w:val="24"/>
          <w:lang w:eastAsia="zh-CN"/>
        </w:rPr>
        <w:t>审</w:t>
      </w:r>
      <w:r>
        <w:rPr>
          <w:rFonts w:hint="eastAsia" w:ascii="宋体" w:hAnsi="宋体" w:eastAsia="宋体"/>
          <w:sz w:val="24"/>
          <w:szCs w:val="24"/>
        </w:rPr>
        <w:t xml:space="preserve">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w:t>
      </w:r>
      <w:r>
        <w:rPr>
          <w:rFonts w:hint="eastAsia" w:ascii="宋体" w:hAnsi="宋体" w:eastAsia="宋体"/>
          <w:sz w:val="24"/>
          <w:szCs w:val="24"/>
          <w:lang w:eastAsia="zh-CN"/>
        </w:rPr>
        <w:t>申请</w:t>
      </w:r>
      <w:r>
        <w:rPr>
          <w:rFonts w:hint="eastAsia" w:ascii="宋体" w:hAnsi="宋体" w:eastAsia="宋体"/>
          <w:sz w:val="24"/>
          <w:szCs w:val="24"/>
        </w:rPr>
        <w:t>文件进行详细评审打分，满分为 100 分。各</w:t>
      </w:r>
      <w:r>
        <w:rPr>
          <w:rFonts w:hint="eastAsia" w:ascii="宋体" w:hAnsi="宋体" w:eastAsia="宋体"/>
          <w:sz w:val="24"/>
          <w:szCs w:val="24"/>
          <w:lang w:eastAsia="zh-CN"/>
        </w:rPr>
        <w:t>申请人</w:t>
      </w:r>
      <w:r>
        <w:rPr>
          <w:rFonts w:hint="eastAsia" w:ascii="宋体" w:hAnsi="宋体" w:eastAsia="宋体"/>
          <w:sz w:val="24"/>
          <w:szCs w:val="24"/>
        </w:rPr>
        <w:t>所有评价指标得分之和为该</w:t>
      </w:r>
      <w:r>
        <w:rPr>
          <w:rFonts w:hint="eastAsia" w:ascii="宋体" w:hAnsi="宋体" w:eastAsia="宋体"/>
          <w:sz w:val="24"/>
          <w:szCs w:val="24"/>
          <w:lang w:eastAsia="zh-CN"/>
        </w:rPr>
        <w:t>评审人</w:t>
      </w:r>
      <w:r>
        <w:rPr>
          <w:rFonts w:hint="eastAsia" w:ascii="宋体" w:hAnsi="宋体" w:eastAsia="宋体"/>
          <w:sz w:val="24"/>
          <w:szCs w:val="24"/>
        </w:rPr>
        <w:t>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7"/>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5"/>
        <w:gridCol w:w="109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35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1090"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分值</w:t>
            </w:r>
          </w:p>
        </w:tc>
        <w:tc>
          <w:tcPr>
            <w:tcW w:w="598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spacing w:line="360" w:lineRule="auto"/>
              <w:ind w:firstLine="240" w:firstLineChars="100"/>
              <w:jc w:val="both"/>
              <w:rPr>
                <w:rFonts w:hint="eastAsia" w:ascii="宋体" w:hAnsi="宋体" w:eastAsia="宋体"/>
                <w:sz w:val="24"/>
                <w:szCs w:val="24"/>
              </w:rPr>
            </w:pPr>
            <w:r>
              <w:rPr>
                <w:rFonts w:hint="eastAsia" w:ascii="宋体" w:hAnsi="宋体" w:eastAsia="宋体"/>
                <w:sz w:val="24"/>
                <w:szCs w:val="24"/>
              </w:rPr>
              <w:t>1</w:t>
            </w:r>
          </w:p>
        </w:tc>
        <w:tc>
          <w:tcPr>
            <w:tcW w:w="1355" w:type="dxa"/>
            <w:shd w:val="clear" w:color="auto" w:fill="auto"/>
            <w:vAlign w:val="center"/>
          </w:tcPr>
          <w:p>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val="en-US" w:eastAsia="zh-CN"/>
              </w:rPr>
              <w:t>报价</w:t>
            </w:r>
          </w:p>
        </w:tc>
        <w:tc>
          <w:tcPr>
            <w:tcW w:w="1090" w:type="dxa"/>
            <w:shd w:val="clear" w:color="auto" w:fill="auto"/>
            <w:vAlign w:val="center"/>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50分</w:t>
            </w:r>
          </w:p>
        </w:tc>
        <w:tc>
          <w:tcPr>
            <w:tcW w:w="5985" w:type="dxa"/>
            <w:shd w:val="clear" w:color="auto" w:fill="auto"/>
            <w:vAlign w:val="center"/>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满足比选文件要求且比选报价价格最低的为评审基准价，其价格分为满分。</w:t>
            </w:r>
          </w:p>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其他报价得分=(评审基准价／比选报价)</w:t>
            </w:r>
            <w:r>
              <w:rPr>
                <w:rFonts w:hint="eastAsia" w:ascii="宋体" w:hAnsi="宋体" w:eastAsia="宋体"/>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0" w:type="dxa"/>
            <w:shd w:val="clear" w:color="auto" w:fill="auto"/>
            <w:vAlign w:val="center"/>
          </w:tcPr>
          <w:p>
            <w:pPr>
              <w:spacing w:line="360" w:lineRule="auto"/>
              <w:ind w:firstLine="240" w:firstLineChars="100"/>
              <w:jc w:val="both"/>
              <w:rPr>
                <w:rFonts w:hint="default" w:ascii="宋体" w:hAnsi="宋体" w:eastAsia="宋体"/>
                <w:sz w:val="24"/>
                <w:szCs w:val="24"/>
                <w:lang w:val="en-US" w:eastAsia="zh-CN"/>
              </w:rPr>
            </w:pPr>
            <w:r>
              <w:rPr>
                <w:rFonts w:hint="eastAsia" w:ascii="宋体" w:hAnsi="宋体" w:eastAsia="宋体"/>
                <w:sz w:val="24"/>
                <w:szCs w:val="24"/>
                <w:lang w:val="en-US" w:eastAsia="zh-CN"/>
              </w:rPr>
              <w:t>2</w:t>
            </w:r>
          </w:p>
        </w:tc>
        <w:tc>
          <w:tcPr>
            <w:tcW w:w="1355" w:type="dxa"/>
            <w:shd w:val="clear" w:color="auto" w:fill="auto"/>
            <w:vAlign w:val="center"/>
          </w:tcPr>
          <w:p>
            <w:pPr>
              <w:spacing w:line="360" w:lineRule="auto"/>
              <w:rPr>
                <w:rFonts w:hint="eastAsia" w:ascii="宋体" w:hAnsi="宋体" w:eastAsia="宋体"/>
                <w:sz w:val="24"/>
                <w:szCs w:val="24"/>
              </w:rPr>
            </w:pPr>
            <w:r>
              <w:rPr>
                <w:rFonts w:hint="eastAsia" w:ascii="宋体" w:hAnsi="宋体" w:eastAsia="宋体"/>
                <w:sz w:val="24"/>
                <w:szCs w:val="24"/>
              </w:rPr>
              <w:t>实施方案</w:t>
            </w:r>
          </w:p>
        </w:tc>
        <w:tc>
          <w:tcPr>
            <w:tcW w:w="1090" w:type="dxa"/>
            <w:shd w:val="clear" w:color="auto" w:fill="auto"/>
            <w:vAlign w:val="center"/>
          </w:tcPr>
          <w:p>
            <w:pPr>
              <w:spacing w:line="360" w:lineRule="auto"/>
              <w:rPr>
                <w:rFonts w:hint="eastAsia" w:ascii="宋体" w:hAnsi="宋体" w:eastAsia="宋体"/>
                <w:sz w:val="24"/>
                <w:szCs w:val="24"/>
              </w:rPr>
            </w:pPr>
            <w:r>
              <w:rPr>
                <w:rFonts w:hint="eastAsia" w:ascii="宋体" w:hAnsi="宋体" w:eastAsia="宋体"/>
                <w:sz w:val="24"/>
                <w:szCs w:val="24"/>
                <w:lang w:val="en-US" w:eastAsia="zh-CN"/>
              </w:rPr>
              <w:t>12分</w:t>
            </w:r>
          </w:p>
        </w:tc>
        <w:tc>
          <w:tcPr>
            <w:tcW w:w="5985" w:type="dxa"/>
            <w:shd w:val="clear" w:color="auto" w:fill="auto"/>
            <w:vAlign w:val="center"/>
          </w:tcPr>
          <w:p>
            <w:pPr>
              <w:spacing w:line="360" w:lineRule="auto"/>
              <w:rPr>
                <w:rFonts w:hint="eastAsia" w:ascii="宋体" w:hAnsi="宋体" w:eastAsia="宋体"/>
                <w:sz w:val="24"/>
                <w:szCs w:val="24"/>
              </w:rPr>
            </w:pPr>
            <w:r>
              <w:rPr>
                <w:rFonts w:hint="eastAsia" w:ascii="宋体" w:hAnsi="宋体" w:eastAsia="宋体"/>
                <w:sz w:val="24"/>
                <w:szCs w:val="24"/>
                <w:lang w:val="en-US" w:eastAsia="zh-CN"/>
              </w:rPr>
              <w:t>根据比选申请人提供的质量保障（包括印刷工艺、设计排版、编辑校对、印刷纸张、油墨、质检）等具体实施方案进行评分，基本满足印刷质量保障方案的每一项得1分，基本满足印刷质量保障方案并且对印刷质量的重点和难点分析，落实到具体的制度上的每一项得1.5分，满足印刷质量保障方案并且针对本项目实际情况来分析执行内容完善、准确，每一项得2分。以上没提供不得分。本项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spacing w:line="360" w:lineRule="auto"/>
              <w:ind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1355" w:type="dxa"/>
            <w:shd w:val="clear" w:color="auto" w:fill="auto"/>
            <w:vAlign w:val="center"/>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服务方案</w:t>
            </w:r>
          </w:p>
        </w:tc>
        <w:tc>
          <w:tcPr>
            <w:tcW w:w="1090" w:type="dxa"/>
            <w:shd w:val="clear" w:color="auto" w:fill="auto"/>
            <w:vAlign w:val="center"/>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16分</w:t>
            </w:r>
          </w:p>
        </w:tc>
        <w:tc>
          <w:tcPr>
            <w:tcW w:w="5985" w:type="dxa"/>
            <w:shd w:val="clear" w:color="auto" w:fill="auto"/>
            <w:vAlign w:val="center"/>
          </w:tcPr>
          <w:p>
            <w:pPr>
              <w:spacing w:line="360" w:lineRule="auto"/>
              <w:rPr>
                <w:rFonts w:hint="eastAsia" w:ascii="宋体" w:hAnsi="宋体" w:eastAsia="宋体"/>
                <w:sz w:val="24"/>
                <w:szCs w:val="24"/>
                <w:lang w:val="en-US" w:eastAsia="zh-CN"/>
              </w:rPr>
            </w:pPr>
            <w:r>
              <w:rPr>
                <w:rFonts w:hint="default" w:ascii="宋体" w:hAnsi="宋体" w:eastAsia="宋体"/>
                <w:sz w:val="24"/>
                <w:szCs w:val="24"/>
                <w:lang w:val="en-US" w:eastAsia="zh-CN"/>
              </w:rPr>
              <w:t>根据</w:t>
            </w:r>
            <w:r>
              <w:rPr>
                <w:rFonts w:hint="eastAsia" w:ascii="宋体" w:hAnsi="宋体" w:eastAsia="宋体"/>
                <w:sz w:val="24"/>
                <w:szCs w:val="24"/>
                <w:lang w:val="en-US" w:eastAsia="zh-CN"/>
              </w:rPr>
              <w:t>比选申请人</w:t>
            </w:r>
            <w:r>
              <w:rPr>
                <w:rFonts w:hint="default" w:ascii="宋体" w:hAnsi="宋体" w:eastAsia="宋体"/>
                <w:sz w:val="24"/>
                <w:szCs w:val="24"/>
                <w:lang w:val="en-US" w:eastAsia="zh-CN"/>
              </w:rPr>
              <w:t>提供的服务方案内容包含但不限于</w:t>
            </w:r>
            <w:r>
              <w:rPr>
                <w:rFonts w:hint="eastAsia" w:ascii="宋体" w:hAnsi="宋体" w:eastAsia="宋体"/>
                <w:sz w:val="24"/>
                <w:szCs w:val="24"/>
                <w:lang w:val="en-US" w:eastAsia="zh-CN"/>
              </w:rPr>
              <w:t>:</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1.配送方案；</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2.售后服务响应（提供售后服务响应时间、处理方式及提供售后服务电话）；</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3.应急保障措施及应急处理方式、现场服务支持能力；</w:t>
            </w:r>
          </w:p>
          <w:p>
            <w:pPr>
              <w:spacing w:line="360" w:lineRule="auto"/>
              <w:ind w:firstLine="470" w:firstLineChars="196"/>
              <w:rPr>
                <w:rFonts w:hint="default" w:ascii="宋体" w:hAnsi="宋体" w:eastAsia="宋体"/>
                <w:sz w:val="24"/>
                <w:szCs w:val="24"/>
                <w:lang w:val="en-US" w:eastAsia="zh-CN"/>
              </w:rPr>
            </w:pPr>
            <w:r>
              <w:rPr>
                <w:rFonts w:hint="eastAsia" w:ascii="宋体" w:hAnsi="宋体" w:eastAsia="宋体"/>
                <w:sz w:val="24"/>
                <w:szCs w:val="24"/>
                <w:lang w:val="en-US" w:eastAsia="zh-CN"/>
              </w:rPr>
              <w:t>4.对提供的样书的印刷纸张、排版等内容进行综合评审。</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内容齐全且无缺陷得16分。每缺失一项内容扣4分，每有一处存在缺陷，扣1分,扣完为止。</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注：缺陷是指：与实际情况不符、夸大不合理、不符合采购人实际需求等任意一种情形。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spacing w:line="360" w:lineRule="auto"/>
              <w:ind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1355" w:type="dxa"/>
            <w:shd w:val="clear" w:color="auto" w:fill="auto"/>
            <w:vAlign w:val="center"/>
          </w:tcPr>
          <w:p>
            <w:pPr>
              <w:spacing w:line="360" w:lineRule="auto"/>
              <w:rPr>
                <w:rFonts w:hint="eastAsia" w:ascii="宋体" w:hAnsi="宋体" w:eastAsia="宋体"/>
                <w:sz w:val="24"/>
                <w:szCs w:val="24"/>
              </w:rPr>
            </w:pPr>
            <w:r>
              <w:rPr>
                <w:rFonts w:hint="eastAsia" w:ascii="宋体" w:hAnsi="宋体" w:eastAsia="宋体"/>
                <w:sz w:val="24"/>
                <w:szCs w:val="24"/>
              </w:rPr>
              <w:t>履约能力</w:t>
            </w:r>
          </w:p>
        </w:tc>
        <w:tc>
          <w:tcPr>
            <w:tcW w:w="1090" w:type="dxa"/>
            <w:shd w:val="clear" w:color="auto" w:fill="auto"/>
            <w:vAlign w:val="center"/>
          </w:tcPr>
          <w:p>
            <w:pPr>
              <w:spacing w:line="360" w:lineRule="auto"/>
              <w:rPr>
                <w:rFonts w:hint="eastAsia" w:ascii="宋体" w:hAnsi="宋体" w:eastAsia="宋体"/>
                <w:sz w:val="24"/>
                <w:szCs w:val="24"/>
              </w:rPr>
            </w:pPr>
            <w:r>
              <w:rPr>
                <w:rFonts w:hint="eastAsia" w:ascii="宋体" w:hAnsi="宋体" w:eastAsia="宋体"/>
                <w:sz w:val="24"/>
                <w:szCs w:val="24"/>
                <w:lang w:val="en-US" w:eastAsia="zh-CN"/>
              </w:rPr>
              <w:t>13</w:t>
            </w:r>
            <w:r>
              <w:rPr>
                <w:rFonts w:hint="eastAsia" w:ascii="宋体" w:hAnsi="宋体" w:eastAsia="宋体"/>
                <w:sz w:val="24"/>
                <w:szCs w:val="24"/>
              </w:rPr>
              <w:t>分</w:t>
            </w:r>
          </w:p>
        </w:tc>
        <w:tc>
          <w:tcPr>
            <w:tcW w:w="5985" w:type="dxa"/>
            <w:shd w:val="clear" w:color="auto" w:fill="auto"/>
            <w:vAlign w:val="center"/>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1.根据比选申请人提供（2021年1月1日至提交比选申请文件截止日）的类似业绩进行评定。2021-2022年类似项目教材业绩作为评定标准，需提供销售合同或中标（成交、中选）通知书复印件加盖必选申请人鲜章。15份及以上得10分，10—14份得6分，5—9份得3分，4份及以下得1分，不提供不得分。（同一个合作单位的供应合同有多个的，认定为一个）。</w:t>
            </w:r>
          </w:p>
          <w:p>
            <w:pPr>
              <w:spacing w:line="360" w:lineRule="auto"/>
              <w:rPr>
                <w:rFonts w:hint="eastAsia" w:ascii="宋体" w:hAnsi="宋体" w:eastAsia="宋体"/>
                <w:sz w:val="24"/>
                <w:szCs w:val="24"/>
              </w:rPr>
            </w:pPr>
            <w:r>
              <w:rPr>
                <w:rFonts w:hint="eastAsia" w:ascii="宋体" w:hAnsi="宋体" w:eastAsia="宋体"/>
                <w:sz w:val="24"/>
                <w:szCs w:val="24"/>
                <w:lang w:val="en-US" w:eastAsia="zh-CN"/>
              </w:rPr>
              <w:t>2.申请人承诺按要求到货率100%的得3分，到货率99%～100%（不含）得2分，到货率99%（不含）以下计0分，不提供不得分，提供承诺函并加盖申请人鲜章。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10" w:type="dxa"/>
            <w:shd w:val="clear" w:color="auto" w:fill="auto"/>
            <w:vAlign w:val="center"/>
          </w:tcPr>
          <w:p>
            <w:pPr>
              <w:spacing w:line="360" w:lineRule="auto"/>
              <w:ind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1355" w:type="dxa"/>
            <w:shd w:val="clear" w:color="auto" w:fill="auto"/>
            <w:vAlign w:val="center"/>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服务团队</w:t>
            </w:r>
          </w:p>
        </w:tc>
        <w:tc>
          <w:tcPr>
            <w:tcW w:w="1090" w:type="dxa"/>
            <w:shd w:val="clear" w:color="auto" w:fill="auto"/>
            <w:vAlign w:val="center"/>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8分</w:t>
            </w:r>
          </w:p>
        </w:tc>
        <w:tc>
          <w:tcPr>
            <w:tcW w:w="5985" w:type="dxa"/>
            <w:shd w:val="clear" w:color="auto" w:fill="auto"/>
            <w:vAlign w:val="center"/>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比选申请人拟为本项目配置的人员（提供在职证明复印件及有效证书复印件并加盖比选申请鲜章，未提供不得分）中具有</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（1）配置印刷图文信息处理1人得1分，最多得2分</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（2）配置印刷技术1人得1分，最多得2分</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（3）配置包装技术与设计1人得1分，最多得2分</w:t>
            </w:r>
          </w:p>
          <w:p>
            <w:pPr>
              <w:spacing w:line="360" w:lineRule="auto"/>
              <w:rPr>
                <w:rFonts w:hint="eastAsia" w:ascii="宋体" w:hAnsi="宋体" w:eastAsia="宋体"/>
                <w:sz w:val="24"/>
                <w:szCs w:val="24"/>
              </w:rPr>
            </w:pPr>
            <w:r>
              <w:rPr>
                <w:rFonts w:hint="eastAsia" w:ascii="宋体" w:hAnsi="宋体" w:eastAsia="宋体"/>
                <w:sz w:val="24"/>
                <w:szCs w:val="24"/>
                <w:lang w:val="en-US" w:eastAsia="zh-CN"/>
              </w:rPr>
              <w:t>（4）配置平面设计及类似专业计1人得1分，最多得2分。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spacing w:line="360" w:lineRule="auto"/>
              <w:ind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1355" w:type="dxa"/>
            <w:shd w:val="clear" w:color="auto" w:fill="auto"/>
            <w:vAlign w:val="center"/>
          </w:tcPr>
          <w:p>
            <w:pPr>
              <w:spacing w:line="360" w:lineRule="auto"/>
              <w:rPr>
                <w:rFonts w:hint="eastAsia" w:ascii="宋体" w:hAnsi="宋体" w:eastAsia="宋体"/>
                <w:sz w:val="24"/>
                <w:szCs w:val="24"/>
              </w:rPr>
            </w:pPr>
            <w:r>
              <w:rPr>
                <w:rFonts w:hint="eastAsia" w:ascii="宋体" w:hAnsi="宋体" w:eastAsia="宋体"/>
                <w:sz w:val="24"/>
                <w:szCs w:val="24"/>
              </w:rPr>
              <w:t>比选申请文件的规范性</w:t>
            </w:r>
          </w:p>
        </w:tc>
        <w:tc>
          <w:tcPr>
            <w:tcW w:w="1090" w:type="dxa"/>
            <w:shd w:val="clear" w:color="auto" w:fill="auto"/>
            <w:vAlign w:val="center"/>
          </w:tcPr>
          <w:p>
            <w:pPr>
              <w:spacing w:line="360" w:lineRule="auto"/>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分</w:t>
            </w:r>
          </w:p>
        </w:tc>
        <w:tc>
          <w:tcPr>
            <w:tcW w:w="5985" w:type="dxa"/>
            <w:shd w:val="clear" w:color="auto" w:fill="auto"/>
            <w:vAlign w:val="center"/>
          </w:tcPr>
          <w:p>
            <w:pPr>
              <w:spacing w:line="360" w:lineRule="auto"/>
              <w:rPr>
                <w:rFonts w:hint="eastAsia" w:ascii="宋体" w:hAnsi="宋体" w:eastAsia="宋体"/>
                <w:sz w:val="24"/>
                <w:szCs w:val="24"/>
                <w:lang w:eastAsia="zh-CN"/>
              </w:rPr>
            </w:pPr>
            <w:r>
              <w:rPr>
                <w:rFonts w:hint="eastAsia" w:ascii="宋体" w:hAnsi="宋体" w:eastAsia="宋体"/>
                <w:sz w:val="24"/>
                <w:szCs w:val="24"/>
              </w:rPr>
              <w:t>比选申请文件制作规范，有清晰目录、页码得1分</w:t>
            </w:r>
            <w:r>
              <w:rPr>
                <w:rFonts w:hint="eastAsia" w:ascii="宋体" w:hAnsi="宋体" w:eastAsia="宋体"/>
                <w:sz w:val="24"/>
                <w:szCs w:val="24"/>
                <w:lang w:eastAsia="zh-CN"/>
              </w:rPr>
              <w:t>。</w:t>
            </w:r>
          </w:p>
        </w:tc>
      </w:tr>
    </w:tbl>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注：评分的取值按四舍五入法，保留小数点后两位。</w:t>
      </w:r>
    </w:p>
    <w:p>
      <w:pPr>
        <w:spacing w:line="360" w:lineRule="auto"/>
        <w:ind w:firstLine="470" w:firstLineChars="196"/>
        <w:rPr>
          <w:rFonts w:hint="eastAsia" w:ascii="宋体" w:hAnsi="宋体" w:eastAsia="宋体"/>
          <w:sz w:val="24"/>
          <w:szCs w:val="24"/>
        </w:rPr>
      </w:pPr>
    </w:p>
    <w:p>
      <w:pPr>
        <w:ind w:firstLine="2520" w:firstLineChars="700"/>
        <w:rPr>
          <w:rFonts w:ascii="宋体" w:hAnsi="宋体" w:eastAsia="宋体"/>
          <w:bCs/>
          <w:color w:val="000000"/>
          <w:sz w:val="36"/>
          <w:szCs w:val="36"/>
        </w:rPr>
      </w:pPr>
    </w:p>
    <w:p>
      <w:pPr>
        <w:ind w:firstLine="2520" w:firstLineChars="700"/>
        <w:rPr>
          <w:rFonts w:ascii="宋体" w:hAnsi="宋体" w:eastAsia="宋体"/>
          <w:bCs/>
          <w:color w:val="000000"/>
          <w:sz w:val="36"/>
          <w:szCs w:val="36"/>
        </w:rPr>
      </w:pPr>
    </w:p>
    <w:p>
      <w:pPr>
        <w:ind w:firstLine="2520" w:firstLineChars="700"/>
        <w:rPr>
          <w:rFonts w:ascii="宋体" w:hAnsi="宋体" w:eastAsia="宋体"/>
          <w:bCs/>
          <w:color w:val="000000"/>
          <w:sz w:val="36"/>
          <w:szCs w:val="36"/>
        </w:rPr>
      </w:pPr>
    </w:p>
    <w:p>
      <w:pPr>
        <w:ind w:firstLine="2520" w:firstLineChars="700"/>
        <w:rPr>
          <w:rFonts w:ascii="宋体" w:hAnsi="宋体" w:eastAsia="宋体"/>
          <w:bCs/>
          <w:color w:val="000000"/>
          <w:sz w:val="36"/>
          <w:szCs w:val="36"/>
        </w:rPr>
      </w:pPr>
    </w:p>
    <w:p>
      <w:pPr>
        <w:ind w:firstLine="2520" w:firstLineChars="700"/>
        <w:rPr>
          <w:rFonts w:ascii="宋体" w:hAnsi="宋体" w:eastAsia="宋体"/>
          <w:bCs/>
          <w:color w:val="000000"/>
          <w:sz w:val="36"/>
          <w:szCs w:val="36"/>
        </w:rPr>
      </w:pPr>
      <w:r>
        <w:rPr>
          <w:rFonts w:hint="eastAsia" w:ascii="宋体" w:hAnsi="宋体" w:eastAsia="宋体"/>
          <w:bCs/>
          <w:color w:val="000000"/>
          <w:sz w:val="36"/>
          <w:szCs w:val="36"/>
        </w:rPr>
        <w:t>第六章 比选申请文件格式</w:t>
      </w:r>
      <w:bookmarkEnd w:id="25"/>
    </w:p>
    <w:p>
      <w:pPr>
        <w:ind w:firstLine="3975" w:firstLineChars="11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2"/>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4"/>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2"/>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4"/>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6"/>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2"/>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2"/>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color w:val="000000"/>
          <w:sz w:val="36"/>
          <w:szCs w:val="36"/>
        </w:rPr>
      </w:pPr>
      <w:bookmarkStart w:id="31" w:name="_Toc31585"/>
      <w:bookmarkStart w:id="32" w:name="_Toc13707"/>
      <w:bookmarkStart w:id="33" w:name="_Toc26179"/>
      <w:r>
        <w:rPr>
          <w:rFonts w:hint="eastAsia" w:ascii="宋体" w:hAnsi="宋体" w:eastAsia="宋体"/>
          <w:color w:val="000000"/>
          <w:sz w:val="36"/>
          <w:szCs w:val="36"/>
        </w:rPr>
        <w:t>第七章 采购合同条款（草案）</w:t>
      </w:r>
      <w:bookmarkEnd w:id="31"/>
      <w:bookmarkEnd w:id="32"/>
      <w:bookmarkEnd w:id="33"/>
    </w:p>
    <w:p>
      <w:pPr>
        <w:spacing w:line="480" w:lineRule="exact"/>
        <w:rPr>
          <w:rFonts w:ascii="宋体" w:hAnsi="宋体" w:eastAsia="宋体"/>
          <w:sz w:val="28"/>
        </w:rPr>
      </w:pPr>
    </w:p>
    <w:p>
      <w:pPr>
        <w:snapToGrid w:val="0"/>
        <w:spacing w:line="360" w:lineRule="auto"/>
        <w:rPr>
          <w:rFonts w:ascii="宋体" w:hAnsi="宋体" w:eastAsia="宋体"/>
          <w:szCs w:val="21"/>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AADB58D0"/>
    <w:multiLevelType w:val="singleLevel"/>
    <w:tmpl w:val="AADB58D0"/>
    <w:lvl w:ilvl="0" w:tentative="0">
      <w:start w:val="4"/>
      <w:numFmt w:val="chineseCounting"/>
      <w:suff w:val="nothing"/>
      <w:lvlText w:val="%1、"/>
      <w:lvlJc w:val="left"/>
      <w:rPr>
        <w:rFonts w:hint="eastAsia"/>
      </w:r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24A0A"/>
    <w:rsid w:val="003569BD"/>
    <w:rsid w:val="00357EDC"/>
    <w:rsid w:val="003738CF"/>
    <w:rsid w:val="003834B9"/>
    <w:rsid w:val="003E3E28"/>
    <w:rsid w:val="004318DE"/>
    <w:rsid w:val="00440DEA"/>
    <w:rsid w:val="004E4695"/>
    <w:rsid w:val="004F5587"/>
    <w:rsid w:val="00505F07"/>
    <w:rsid w:val="00542BBB"/>
    <w:rsid w:val="00563636"/>
    <w:rsid w:val="005A403D"/>
    <w:rsid w:val="0060271B"/>
    <w:rsid w:val="006544EC"/>
    <w:rsid w:val="006556EA"/>
    <w:rsid w:val="0070549E"/>
    <w:rsid w:val="007778BD"/>
    <w:rsid w:val="007B6243"/>
    <w:rsid w:val="007E7A49"/>
    <w:rsid w:val="007F0BFD"/>
    <w:rsid w:val="0085681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B3C4D"/>
    <w:rsid w:val="00DC351D"/>
    <w:rsid w:val="00E15BF1"/>
    <w:rsid w:val="00E250D7"/>
    <w:rsid w:val="00E85DDD"/>
    <w:rsid w:val="00EB5667"/>
    <w:rsid w:val="00F34F45"/>
    <w:rsid w:val="00F53C48"/>
    <w:rsid w:val="00F934B2"/>
    <w:rsid w:val="00FD4A63"/>
    <w:rsid w:val="07F55C66"/>
    <w:rsid w:val="0B687D7C"/>
    <w:rsid w:val="0E945864"/>
    <w:rsid w:val="214A654E"/>
    <w:rsid w:val="33F006B0"/>
    <w:rsid w:val="3CAD7398"/>
    <w:rsid w:val="4048214A"/>
    <w:rsid w:val="414334DE"/>
    <w:rsid w:val="5261632C"/>
    <w:rsid w:val="5BD415B9"/>
    <w:rsid w:val="5E12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29"/>
    <w:qFormat/>
    <w:uiPriority w:val="0"/>
    <w:pPr>
      <w:keepNext/>
      <w:keepLines/>
      <w:spacing w:before="120" w:after="120"/>
      <w:outlineLvl w:val="2"/>
    </w:pPr>
    <w:rPr>
      <w:rFonts w:eastAsia="仿宋"/>
      <w:b/>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qFormat/>
    <w:uiPriority w:val="0"/>
    <w:pPr>
      <w:ind w:firstLine="420" w:firstLineChars="200"/>
    </w:pPr>
  </w:style>
  <w:style w:type="paragraph" w:styleId="8">
    <w:name w:val="annotation text"/>
    <w:basedOn w:val="1"/>
    <w:link w:val="31"/>
    <w:qFormat/>
    <w:uiPriority w:val="0"/>
    <w:pPr>
      <w:jc w:val="left"/>
    </w:pPr>
  </w:style>
  <w:style w:type="paragraph" w:styleId="9">
    <w:name w:val="Plain Text"/>
    <w:basedOn w:val="1"/>
    <w:qFormat/>
    <w:uiPriority w:val="0"/>
    <w:rPr>
      <w:rFonts w:hAnsi="Courier New"/>
    </w:r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2"/>
    <w:qFormat/>
    <w:uiPriority w:val="0"/>
    <w:pPr>
      <w:ind w:firstLine="630"/>
    </w:pPr>
    <w:rPr>
      <w:sz w:val="32"/>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0"/>
    <w:rPr>
      <w:sz w:val="28"/>
    </w:rPr>
  </w:style>
  <w:style w:type="paragraph" w:styleId="15">
    <w:name w:val="annotation subject"/>
    <w:basedOn w:val="8"/>
    <w:next w:val="8"/>
    <w:link w:val="46"/>
    <w:semiHidden/>
    <w:unhideWhenUsed/>
    <w:qFormat/>
    <w:uiPriority w:val="99"/>
    <w:rPr>
      <w:b/>
      <w:bCs/>
    </w:rPr>
  </w:style>
  <w:style w:type="paragraph" w:styleId="16">
    <w:name w:val="Body Text First Indent"/>
    <w:basedOn w:val="2"/>
    <w:link w:val="34"/>
    <w:qFormat/>
    <w:uiPriority w:val="0"/>
    <w:pPr>
      <w:spacing w:line="360" w:lineRule="auto"/>
      <w:ind w:firstLine="420"/>
    </w:pPr>
    <w:rPr>
      <w:rFonts w:ascii="宋体" w:hAnsi="宋体"/>
      <w:sz w:val="24"/>
    </w:rPr>
  </w:style>
  <w:style w:type="table" w:styleId="18">
    <w:name w:val="Table Grid"/>
    <w:basedOn w:val="1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
    <w:name w:val="页眉 字符"/>
    <w:basedOn w:val="19"/>
    <w:link w:val="13"/>
    <w:qFormat/>
    <w:uiPriority w:val="99"/>
    <w:rPr>
      <w:sz w:val="18"/>
      <w:szCs w:val="18"/>
    </w:rPr>
  </w:style>
  <w:style w:type="character" w:customStyle="1" w:styleId="26">
    <w:name w:val="页脚 字符"/>
    <w:basedOn w:val="19"/>
    <w:link w:val="12"/>
    <w:qFormat/>
    <w:uiPriority w:val="99"/>
    <w:rPr>
      <w:sz w:val="18"/>
      <w:szCs w:val="18"/>
    </w:rPr>
  </w:style>
  <w:style w:type="character" w:customStyle="1" w:styleId="27">
    <w:name w:val="标题 1 字符"/>
    <w:basedOn w:val="19"/>
    <w:link w:val="3"/>
    <w:qFormat/>
    <w:uiPriority w:val="99"/>
    <w:rPr>
      <w:b/>
      <w:bCs/>
      <w:kern w:val="44"/>
      <w:sz w:val="44"/>
      <w:szCs w:val="44"/>
    </w:rPr>
  </w:style>
  <w:style w:type="character" w:customStyle="1" w:styleId="28">
    <w:name w:val="标题 2 字符"/>
    <w:basedOn w:val="19"/>
    <w:link w:val="4"/>
    <w:qFormat/>
    <w:uiPriority w:val="0"/>
    <w:rPr>
      <w:rFonts w:ascii="Arial" w:hAnsi="Arial" w:eastAsia="仿宋"/>
      <w:b/>
      <w:bCs/>
      <w:sz w:val="28"/>
      <w:szCs w:val="32"/>
    </w:rPr>
  </w:style>
  <w:style w:type="character" w:customStyle="1" w:styleId="29">
    <w:name w:val="标题 3 字符"/>
    <w:basedOn w:val="19"/>
    <w:link w:val="5"/>
    <w:qFormat/>
    <w:uiPriority w:val="0"/>
    <w:rPr>
      <w:rFonts w:eastAsia="仿宋"/>
      <w:b/>
      <w:sz w:val="30"/>
    </w:rPr>
  </w:style>
  <w:style w:type="character" w:customStyle="1" w:styleId="30">
    <w:name w:val="正文文本 字符"/>
    <w:basedOn w:val="19"/>
    <w:link w:val="2"/>
    <w:qFormat/>
    <w:uiPriority w:val="0"/>
  </w:style>
  <w:style w:type="character" w:customStyle="1" w:styleId="31">
    <w:name w:val="批注文字 字符"/>
    <w:basedOn w:val="19"/>
    <w:link w:val="8"/>
    <w:qFormat/>
    <w:uiPriority w:val="0"/>
  </w:style>
  <w:style w:type="character" w:customStyle="1" w:styleId="32">
    <w:name w:val="正文文本缩进 2 字符"/>
    <w:basedOn w:val="19"/>
    <w:link w:val="11"/>
    <w:qFormat/>
    <w:uiPriority w:val="0"/>
    <w:rPr>
      <w:sz w:val="32"/>
    </w:rPr>
  </w:style>
  <w:style w:type="character" w:customStyle="1" w:styleId="33">
    <w:name w:val="副标题 字符"/>
    <w:basedOn w:val="19"/>
    <w:link w:val="14"/>
    <w:qFormat/>
    <w:uiPriority w:val="0"/>
    <w:rPr>
      <w:sz w:val="28"/>
    </w:rPr>
  </w:style>
  <w:style w:type="character" w:customStyle="1" w:styleId="34">
    <w:name w:val="正文文本首行缩进 字符"/>
    <w:basedOn w:val="30"/>
    <w:link w:val="16"/>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19"/>
    <w:link w:val="10"/>
    <w:semiHidden/>
    <w:qFormat/>
    <w:uiPriority w:val="99"/>
    <w:rPr>
      <w:kern w:val="2"/>
      <w:sz w:val="21"/>
      <w:szCs w:val="22"/>
    </w:rPr>
  </w:style>
  <w:style w:type="character" w:customStyle="1" w:styleId="46">
    <w:name w:val="批注主题 字符"/>
    <w:basedOn w:val="31"/>
    <w:link w:val="15"/>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13483</Words>
  <Characters>14488</Characters>
  <Lines>173</Lines>
  <Paragraphs>48</Paragraphs>
  <TotalTime>19</TotalTime>
  <ScaleCrop>false</ScaleCrop>
  <LinksUpToDate>false</LinksUpToDate>
  <CharactersWithSpaces>14600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2023-06-08T00:57:15Z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BF2B1A6616854115B3000DA7DCFEEF67</vt:lpwstr>
  </property>
</Properties>
</file>