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pPr>
        <w:spacing w:line="640" w:lineRule="exact"/>
        <w:ind w:firstLine="2240" w:firstLineChars="700"/>
        <w:rPr>
          <w:rFonts w:ascii="宋体" w:hAnsi="宋体" w:eastAsia="宋体"/>
          <w:sz w:val="32"/>
          <w:szCs w:val="32"/>
        </w:rPr>
      </w:pP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竞</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比</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pPr>
        <w:jc w:val="center"/>
        <w:rPr>
          <w:rFonts w:ascii="方正小标宋简体" w:hAnsi="微软雅黑" w:eastAsia="方正小标宋简体"/>
          <w:sz w:val="36"/>
          <w:szCs w:val="36"/>
        </w:rPr>
      </w:pPr>
    </w:p>
    <w:p>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color w:val="000000"/>
          <w:sz w:val="32"/>
          <w:szCs w:val="32"/>
        </w:rPr>
        <w:t>·</w:t>
      </w:r>
      <w:r>
        <w:rPr>
          <w:rFonts w:hint="eastAsia" w:ascii="宋体" w:hAnsi="宋体" w:eastAsia="宋体"/>
          <w:sz w:val="30"/>
          <w:szCs w:val="30"/>
        </w:rPr>
        <w:t>成都</w:t>
      </w:r>
    </w:p>
    <w:p>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2023</w:t>
      </w:r>
      <w:r>
        <w:rPr>
          <w:rFonts w:hint="eastAsia" w:ascii="宋体" w:hAnsi="宋体" w:eastAsia="宋体" w:cs="宋体"/>
          <w:bCs/>
          <w:sz w:val="32"/>
          <w:szCs w:val="32"/>
          <w:lang w:val="zh-CN"/>
        </w:rPr>
        <w:t>年</w:t>
      </w:r>
      <w:r>
        <w:rPr>
          <w:rFonts w:hint="eastAsia" w:ascii="宋体" w:hAnsi="宋体" w:eastAsia="宋体" w:cs="宋体"/>
          <w:bCs/>
          <w:sz w:val="32"/>
          <w:szCs w:val="32"/>
        </w:rPr>
        <w:t>1</w:t>
      </w:r>
      <w:r>
        <w:rPr>
          <w:rFonts w:hint="eastAsia" w:ascii="宋体" w:hAnsi="宋体" w:eastAsia="宋体" w:cs="宋体"/>
          <w:bCs/>
          <w:sz w:val="32"/>
          <w:szCs w:val="32"/>
          <w:lang w:val="en-US" w:eastAsia="zh-CN"/>
        </w:rPr>
        <w:t>2</w:t>
      </w:r>
      <w:r>
        <w:rPr>
          <w:rFonts w:hint="eastAsia" w:ascii="宋体" w:hAnsi="宋体" w:eastAsia="宋体" w:cs="宋体"/>
          <w:bCs/>
          <w:sz w:val="32"/>
          <w:szCs w:val="32"/>
          <w:lang w:val="zh-CN"/>
        </w:rPr>
        <w:t>月</w:t>
      </w:r>
      <w:bookmarkStart w:id="0" w:name="_Hlt101233737"/>
      <w:bookmarkEnd w:id="0"/>
      <w:bookmarkStart w:id="1" w:name="_Hlt101843627"/>
      <w:bookmarkEnd w:id="1"/>
    </w:p>
    <w:p>
      <w:pPr>
        <w:pStyle w:val="23"/>
        <w:rPr>
          <w:lang w:val="zh-CN"/>
        </w:rPr>
      </w:pPr>
      <w:r>
        <w:rPr>
          <w:lang w:val="zh-CN"/>
        </w:rPr>
        <w:br w:type="page"/>
      </w:r>
    </w:p>
    <w:p>
      <w:pPr>
        <w:pStyle w:val="3"/>
        <w:spacing w:line="360" w:lineRule="auto"/>
        <w:jc w:val="center"/>
        <w:rPr>
          <w:rFonts w:ascii="宋体" w:hAnsi="宋体" w:eastAsia="宋体"/>
        </w:rPr>
      </w:pPr>
      <w:r>
        <w:rPr>
          <w:rFonts w:hint="eastAsia" w:ascii="宋体" w:hAnsi="宋体" w:eastAsia="宋体"/>
          <w:bCs w:val="0"/>
          <w:sz w:val="36"/>
        </w:rPr>
        <w:t>第一章 比选邀请</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四川铁道职业学院拟对铁道机车专业课程建设及教学改革研究项目</w:t>
      </w:r>
      <w:r>
        <w:rPr>
          <w:rFonts w:ascii="宋体" w:hAnsi="宋体" w:eastAsia="宋体" w:cs="Times New Roman"/>
          <w:sz w:val="24"/>
          <w:szCs w:val="24"/>
        </w:rPr>
        <w:t>进行公开采购。遵循公开、公平、公正的原则，欢迎符合条件的各潜在供应商积极参与该项目的采购工作。现就有关事项公告如下：</w:t>
      </w:r>
    </w:p>
    <w:p>
      <w:pPr>
        <w:numPr>
          <w:ilvl w:val="0"/>
          <w:numId w:val="2"/>
        </w:numPr>
        <w:spacing w:line="360" w:lineRule="auto"/>
        <w:ind w:firstLine="482" w:firstLineChars="200"/>
        <w:outlineLvl w:val="1"/>
        <w:rPr>
          <w:rFonts w:ascii="宋体" w:hAnsi="宋体" w:eastAsia="宋体" w:cs="Times New Roman"/>
          <w:sz w:val="24"/>
          <w:szCs w:val="24"/>
          <w:u w:val="single"/>
        </w:rPr>
      </w:pPr>
      <w:r>
        <w:rPr>
          <w:rFonts w:hint="eastAsia" w:ascii="宋体" w:hAnsi="宋体" w:eastAsia="宋体" w:cs="Times New Roman"/>
          <w:b/>
          <w:sz w:val="24"/>
          <w:szCs w:val="24"/>
        </w:rPr>
        <w:t>项目名称：</w:t>
      </w:r>
      <w:r>
        <w:rPr>
          <w:rFonts w:hint="eastAsia" w:ascii="宋体" w:hAnsi="宋体" w:eastAsia="宋体" w:cs="Times New Roman"/>
          <w:sz w:val="24"/>
          <w:szCs w:val="24"/>
        </w:rPr>
        <w:t>铁道机车专业课程建设及教学改革研究项目</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二、项目编号：CTZY-CG</w:t>
      </w:r>
      <w:r>
        <w:rPr>
          <w:rFonts w:ascii="宋体" w:hAnsi="宋体" w:eastAsia="宋体" w:cs="Times New Roman"/>
          <w:b/>
          <w:sz w:val="24"/>
          <w:szCs w:val="24"/>
        </w:rPr>
        <w:t>-</w:t>
      </w:r>
      <w:r>
        <w:rPr>
          <w:rFonts w:hint="eastAsia" w:ascii="宋体" w:hAnsi="宋体" w:eastAsia="宋体" w:cs="Times New Roman"/>
          <w:b/>
          <w:sz w:val="24"/>
          <w:szCs w:val="24"/>
        </w:rPr>
        <w:t>2023024</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三、项目简介</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本项目共计1个包，拟确定中选人1名。（具体比选详情见第四章）</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四、供应商参加本次采购活动应具备下列条件：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(五)参加比选活动前三年内，在经营活动中没有重大违法记录；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(六)法律、行政法规规定的其他条件。</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五</w:t>
      </w:r>
      <w:r>
        <w:rPr>
          <w:rFonts w:ascii="宋体" w:hAnsi="宋体" w:eastAsia="宋体" w:cs="Times New Roman"/>
          <w:b/>
          <w:sz w:val="24"/>
          <w:szCs w:val="24"/>
        </w:rPr>
        <w:t>、</w:t>
      </w:r>
      <w:r>
        <w:rPr>
          <w:rFonts w:hint="eastAsia" w:ascii="宋体" w:hAnsi="宋体" w:eastAsia="宋体" w:cs="Times New Roman"/>
          <w:b/>
          <w:sz w:val="24"/>
          <w:szCs w:val="24"/>
        </w:rPr>
        <w:t>比选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本次比选公告在四川铁道职业学院官网（https://www.scrc.org.cn/）发布。</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六、禁止参加本次比选活动的供应商</w:t>
      </w:r>
    </w:p>
    <w:p>
      <w:pPr>
        <w:tabs>
          <w:tab w:val="left" w:pos="6255"/>
        </w:tabs>
        <w:spacing w:line="360" w:lineRule="auto"/>
        <w:ind w:firstLine="480" w:firstLineChars="200"/>
        <w:rPr>
          <w:rFonts w:ascii="宋体" w:hAnsi="宋体" w:eastAsia="宋体"/>
        </w:rPr>
      </w:pPr>
      <w:r>
        <w:rPr>
          <w:rFonts w:hint="eastAsia" w:ascii="宋体" w:hAnsi="宋体" w:eastAsia="宋体"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七</w:t>
      </w:r>
      <w:r>
        <w:rPr>
          <w:rFonts w:ascii="宋体" w:hAnsi="宋体" w:eastAsia="宋体" w:cs="Times New Roman"/>
          <w:b/>
          <w:sz w:val="24"/>
          <w:szCs w:val="24"/>
        </w:rPr>
        <w:t>、</w:t>
      </w:r>
      <w:r>
        <w:rPr>
          <w:rFonts w:hint="eastAsia" w:ascii="宋体" w:hAnsi="宋体" w:eastAsia="宋体" w:cs="Times New Roman"/>
          <w:b/>
          <w:sz w:val="24"/>
          <w:szCs w:val="24"/>
        </w:rPr>
        <w:t>提交比选申请文件截止时间（参加比选的时间）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2023</w:t>
      </w:r>
      <w:r>
        <w:rPr>
          <w:rFonts w:ascii="宋体" w:hAnsi="宋体" w:eastAsia="宋体" w:cs="Times New Roman"/>
          <w:sz w:val="24"/>
          <w:szCs w:val="24"/>
        </w:rPr>
        <w:t>年</w:t>
      </w:r>
      <w:r>
        <w:rPr>
          <w:rFonts w:hint="eastAsia" w:ascii="宋体" w:hAnsi="宋体" w:eastAsia="宋体" w:cs="Times New Roman"/>
          <w:sz w:val="24"/>
          <w:szCs w:val="24"/>
        </w:rPr>
        <w:t>12</w:t>
      </w:r>
      <w:r>
        <w:rPr>
          <w:rFonts w:ascii="宋体" w:hAnsi="宋体" w:eastAsia="宋体" w:cs="Times New Roman"/>
          <w:sz w:val="24"/>
          <w:szCs w:val="24"/>
        </w:rPr>
        <w:t>月</w:t>
      </w:r>
      <w:r>
        <w:rPr>
          <w:rFonts w:hint="eastAsia" w:ascii="宋体" w:hAnsi="宋体" w:eastAsia="宋体" w:cs="Times New Roman"/>
          <w:sz w:val="24"/>
          <w:szCs w:val="24"/>
          <w:lang w:val="en-US" w:eastAsia="zh-CN"/>
        </w:rPr>
        <w:t>12</w:t>
      </w:r>
      <w:r>
        <w:rPr>
          <w:rFonts w:ascii="宋体" w:hAnsi="宋体" w:eastAsia="宋体" w:cs="Times New Roman"/>
          <w:sz w:val="24"/>
          <w:szCs w:val="24"/>
        </w:rPr>
        <w:t>日时</w:t>
      </w:r>
      <w:r>
        <w:rPr>
          <w:rFonts w:hint="eastAsia" w:ascii="宋体" w:hAnsi="宋体" w:eastAsia="宋体" w:cs="Times New Roman"/>
          <w:sz w:val="24"/>
          <w:szCs w:val="24"/>
        </w:rPr>
        <w:t>10：00</w:t>
      </w:r>
      <w:r>
        <w:rPr>
          <w:rFonts w:ascii="宋体" w:hAnsi="宋体" w:eastAsia="宋体" w:cs="Times New Roman"/>
          <w:sz w:val="24"/>
          <w:szCs w:val="24"/>
        </w:rPr>
        <w:t>分</w:t>
      </w:r>
      <w:r>
        <w:rPr>
          <w:rFonts w:hint="eastAsia" w:ascii="宋体" w:hAnsi="宋体" w:eastAsia="宋体" w:cs="Times New Roman"/>
          <w:sz w:val="24"/>
          <w:szCs w:val="24"/>
        </w:rPr>
        <w:t>(</w:t>
      </w:r>
      <w:r>
        <w:rPr>
          <w:rFonts w:ascii="宋体" w:hAnsi="宋体" w:eastAsia="宋体" w:cs="Times New Roman"/>
          <w:sz w:val="24"/>
          <w:szCs w:val="24"/>
        </w:rPr>
        <w:t>北京时间</w:t>
      </w:r>
      <w:r>
        <w:rPr>
          <w:rFonts w:hint="eastAsia" w:ascii="宋体" w:hAnsi="宋体" w:eastAsia="宋体" w:cs="Times New Roman"/>
          <w:sz w:val="24"/>
          <w:szCs w:val="24"/>
        </w:rPr>
        <w:t>)</w:t>
      </w:r>
    </w:p>
    <w:p>
      <w:pPr>
        <w:pStyle w:val="8"/>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1.比选申请文件应在参加比选时间前送达比选地到的文件将被拒收。</w:t>
      </w:r>
    </w:p>
    <w:p>
      <w:pPr>
        <w:pStyle w:val="8"/>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2.逾期送达或没有密封的比选申请文件恕不接收。</w:t>
      </w:r>
    </w:p>
    <w:p>
      <w:pPr>
        <w:pStyle w:val="16"/>
        <w:numPr>
          <w:ilvl w:val="0"/>
          <w:numId w:val="0"/>
        </w:num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lang w:eastAsia="zh-CN"/>
        </w:rPr>
        <w:t>八、</w:t>
      </w:r>
      <w:r>
        <w:rPr>
          <w:rFonts w:hint="eastAsia" w:ascii="宋体" w:hAnsi="宋体" w:eastAsia="宋体" w:cs="Times New Roman"/>
          <w:b/>
          <w:sz w:val="24"/>
          <w:szCs w:val="24"/>
        </w:rPr>
        <w:t>提交比选申请文件地点和比选地点</w:t>
      </w:r>
      <w:bookmarkStart w:id="34" w:name="_GoBack"/>
      <w:bookmarkEnd w:id="34"/>
    </w:p>
    <w:p>
      <w:pPr>
        <w:pStyle w:val="8"/>
        <w:spacing w:after="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成都</w:t>
      </w:r>
      <w:r>
        <w:rPr>
          <w:rFonts w:hint="eastAsia" w:ascii="宋体" w:hAnsi="宋体" w:eastAsia="宋体" w:cs="Times New Roman"/>
          <w:color w:val="000000" w:themeColor="text1"/>
          <w:sz w:val="24"/>
          <w:szCs w:val="24"/>
          <w:lang w:eastAsia="zh-CN"/>
          <w14:textFill>
            <w14:solidFill>
              <w14:schemeClr w14:val="tx1"/>
            </w14:solidFill>
          </w14:textFill>
        </w:rPr>
        <w:t>市</w:t>
      </w:r>
      <w:r>
        <w:rPr>
          <w:rFonts w:hint="eastAsia" w:ascii="宋体" w:hAnsi="宋体" w:eastAsia="宋体" w:cs="Times New Roman"/>
          <w:color w:val="000000" w:themeColor="text1"/>
          <w:sz w:val="24"/>
          <w:szCs w:val="24"/>
          <w14:textFill>
            <w14:solidFill>
              <w14:schemeClr w14:val="tx1"/>
            </w14:solidFill>
          </w14:textFill>
        </w:rPr>
        <w:t>郫都区安德街道彭温路</w:t>
      </w:r>
      <w:r>
        <w:rPr>
          <w:rFonts w:ascii="宋体" w:hAnsi="宋体" w:eastAsia="宋体" w:cs="Times New Roman"/>
          <w:color w:val="000000" w:themeColor="text1"/>
          <w:sz w:val="24"/>
          <w:szCs w:val="24"/>
          <w14:textFill>
            <w14:solidFill>
              <w14:schemeClr w14:val="tx1"/>
            </w14:solidFill>
          </w14:textFill>
        </w:rPr>
        <w:t>399号四川铁道职业学院基建后勤办公区</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14室(</w:t>
      </w:r>
      <w:r>
        <w:rPr>
          <w:rFonts w:hint="eastAsia" w:ascii="宋体" w:hAnsi="宋体" w:eastAsia="宋体" w:cs="Times New Roman"/>
          <w:color w:val="000000" w:themeColor="text1"/>
          <w:sz w:val="24"/>
          <w:szCs w:val="24"/>
          <w14:textFill>
            <w14:solidFill>
              <w14:schemeClr w14:val="tx1"/>
            </w14:solidFill>
          </w14:textFill>
        </w:rPr>
        <w:t>评标室)</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lang w:eastAsia="zh-CN"/>
        </w:rPr>
        <w:t>九</w:t>
      </w:r>
      <w:r>
        <w:rPr>
          <w:rFonts w:ascii="宋体" w:hAnsi="宋体" w:eastAsia="宋体" w:cs="Times New Roman"/>
          <w:b/>
          <w:sz w:val="24"/>
          <w:szCs w:val="24"/>
        </w:rPr>
        <w:t>、联系方式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 选 人：四川铁道职业学院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w:t>
      </w:r>
      <w:r>
        <w:rPr>
          <w:rFonts w:hint="eastAsia" w:ascii="宋体" w:hAnsi="宋体" w:eastAsia="宋体" w:cs="仿宋"/>
          <w:sz w:val="22"/>
        </w:rPr>
        <w:t>成都市郫都区安德街道彭温路399号</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 系 人：贺老师、邓老师</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联系电话：028-68939875、</w:t>
      </w:r>
      <w:r>
        <w:rPr>
          <w:rFonts w:ascii="宋体" w:hAnsi="宋体" w:eastAsia="宋体" w:cs="Times New Roman"/>
          <w:sz w:val="24"/>
          <w:szCs w:val="24"/>
        </w:rPr>
        <w:t>6893</w:t>
      </w:r>
      <w:r>
        <w:rPr>
          <w:rFonts w:hint="eastAsia" w:ascii="宋体" w:hAnsi="宋体" w:eastAsia="宋体" w:cs="Times New Roman"/>
          <w:sz w:val="24"/>
          <w:szCs w:val="24"/>
        </w:rPr>
        <w:t>9925</w:t>
      </w:r>
    </w:p>
    <w:p>
      <w:pPr>
        <w:rPr>
          <w:rFonts w:ascii="宋体" w:hAnsi="宋体" w:eastAsia="宋体"/>
        </w:rPr>
      </w:pPr>
      <w:r>
        <w:rPr>
          <w:rFonts w:ascii="宋体" w:hAnsi="宋体" w:eastAsia="宋体"/>
        </w:rPr>
        <w:br w:type="page"/>
      </w:r>
    </w:p>
    <w:p>
      <w:pPr>
        <w:widowControl/>
        <w:spacing w:line="520" w:lineRule="exact"/>
        <w:jc w:val="center"/>
        <w:outlineLvl w:val="0"/>
        <w:rPr>
          <w:rFonts w:ascii="宋体" w:hAnsi="宋体" w:eastAsia="宋体" w:cs="仿宋"/>
          <w:b/>
          <w:sz w:val="36"/>
          <w:szCs w:val="32"/>
        </w:rPr>
      </w:pPr>
      <w:bookmarkStart w:id="2" w:name="_Toc18147"/>
      <w:bookmarkStart w:id="3" w:name="_Toc23677"/>
      <w:bookmarkStart w:id="4" w:name="_Toc4075"/>
      <w:r>
        <w:rPr>
          <w:rFonts w:hint="eastAsia" w:ascii="宋体" w:hAnsi="宋体" w:eastAsia="宋体" w:cs="仿宋"/>
          <w:b/>
          <w:sz w:val="36"/>
          <w:szCs w:val="32"/>
        </w:rPr>
        <w:t>第二章 比选须知</w:t>
      </w:r>
      <w:bookmarkEnd w:id="2"/>
      <w:bookmarkEnd w:id="3"/>
      <w:bookmarkEnd w:id="4"/>
    </w:p>
    <w:p>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18"/>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序号</w:t>
            </w:r>
          </w:p>
        </w:tc>
        <w:tc>
          <w:tcPr>
            <w:tcW w:w="2210"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应知事项</w:t>
            </w:r>
          </w:p>
        </w:tc>
        <w:tc>
          <w:tcPr>
            <w:tcW w:w="6197"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比选预算</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人民币</w:t>
            </w:r>
            <w:r>
              <w:rPr>
                <w:rFonts w:hint="eastAsia" w:cstheme="minorBidi"/>
                <w:bCs/>
                <w:color w:val="000000" w:themeColor="text1"/>
                <w:kern w:val="2"/>
                <w:sz w:val="21"/>
                <w:szCs w:val="21"/>
                <w14:textFill>
                  <w14:solidFill>
                    <w14:schemeClr w14:val="tx1"/>
                  </w14:solidFill>
                </w14:textFill>
              </w:rPr>
              <w:t>6</w:t>
            </w:r>
            <w:r>
              <w:rPr>
                <w:rFonts w:hint="eastAsia" w:cstheme="minorBidi"/>
                <w:bCs/>
                <w:color w:val="000000" w:themeColor="text1"/>
                <w:kern w:val="2"/>
                <w:sz w:val="21"/>
                <w:szCs w:val="21"/>
                <w:lang w:val="zh-CN"/>
                <w14:textFill>
                  <w14:solidFill>
                    <w14:schemeClr w14:val="tx1"/>
                  </w14:solidFill>
                </w14:textFill>
              </w:rPr>
              <w:t>万元</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超过比选预算的报价，其比选申请文件作无效处理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人民币</w:t>
            </w:r>
            <w:r>
              <w:rPr>
                <w:rFonts w:hint="eastAsia" w:cstheme="minorBidi"/>
                <w:bCs/>
                <w:color w:val="000000" w:themeColor="text1"/>
                <w:kern w:val="2"/>
                <w:sz w:val="21"/>
                <w:szCs w:val="21"/>
                <w14:textFill>
                  <w14:solidFill>
                    <w14:schemeClr w14:val="tx1"/>
                  </w14:solidFill>
                </w14:textFill>
              </w:rPr>
              <w:t>6</w:t>
            </w:r>
            <w:r>
              <w:rPr>
                <w:rFonts w:hint="eastAsia" w:cstheme="minorBidi"/>
                <w:bCs/>
                <w:color w:val="000000" w:themeColor="text1"/>
                <w:kern w:val="2"/>
                <w:sz w:val="21"/>
                <w:szCs w:val="21"/>
                <w:lang w:val="zh-CN"/>
                <w14:textFill>
                  <w14:solidFill>
                    <w14:schemeClr w14:val="tx1"/>
                  </w14:solidFill>
                </w14:textFill>
              </w:rPr>
              <w:t>万元</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超过最高限价的报价，其比选</w:t>
            </w:r>
            <w:bookmarkStart w:id="5" w:name="_Hlk136353364"/>
            <w:r>
              <w:rPr>
                <w:rFonts w:hint="eastAsia" w:cstheme="minorBidi"/>
                <w:bCs/>
                <w:color w:val="000000" w:themeColor="text1"/>
                <w:kern w:val="2"/>
                <w:sz w:val="21"/>
                <w:szCs w:val="21"/>
                <w:lang w:val="zh-CN"/>
                <w14:textFill>
                  <w14:solidFill>
                    <w14:schemeClr w14:val="tx1"/>
                  </w14:solidFill>
                </w14:textFill>
              </w:rPr>
              <w:t>申请文件作无效处理</w:t>
            </w:r>
            <w:bookmarkEnd w:id="5"/>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cs="Times New Roman"/>
                <w:sz w:val="22"/>
                <w:szCs w:val="22"/>
                <w:lang w:val="zh-CN"/>
              </w:rPr>
              <w:t>不正当竞争预防措施</w:t>
            </w:r>
          </w:p>
          <w:p>
            <w:pPr>
              <w:pStyle w:val="37"/>
              <w:spacing w:line="360" w:lineRule="exact"/>
              <w:jc w:val="center"/>
              <w:rPr>
                <w:rFonts w:cs="Times New Roman"/>
                <w:sz w:val="22"/>
                <w:szCs w:val="22"/>
                <w:highlight w:val="green"/>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仿宋"/>
                <w:color w:val="000000" w:themeColor="text1"/>
                <w:sz w:val="21"/>
                <w:szCs w:val="21"/>
                <w:highlight w:val="gree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rPr>
            </w:pPr>
            <w:r>
              <w:rPr>
                <w:rFonts w:hint="eastAsia" w:cs="Times New Roman"/>
                <w:sz w:val="22"/>
                <w:szCs w:val="22"/>
              </w:rPr>
              <w:t>信用记录查询</w:t>
            </w:r>
          </w:p>
          <w:p>
            <w:pPr>
              <w:pStyle w:val="37"/>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（1）比选人通过</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信用中国（</w:t>
            </w:r>
            <w:r>
              <w:fldChar w:fldCharType="begin"/>
            </w:r>
            <w:r>
              <w:instrText xml:space="preserve"> HYPERLINK "http://www.creditchina.gov.cn）、中国政府采购网（www.ccgp.gov.cn）" </w:instrText>
            </w:r>
            <w:r>
              <w:fldChar w:fldCharType="separate"/>
            </w:r>
            <w:r>
              <w:rPr>
                <w:rFonts w:hint="eastAsia" w:cstheme="minorBidi"/>
                <w:bCs/>
                <w:color w:val="000000" w:themeColor="text1"/>
                <w:kern w:val="2"/>
                <w:sz w:val="21"/>
                <w:szCs w:val="21"/>
                <w:lang w:val="zh-CN"/>
                <w14:textFill>
                  <w14:solidFill>
                    <w14:schemeClr w14:val="tx1"/>
                  </w14:solidFill>
                </w14:textFill>
              </w:rPr>
              <w:t>www.creditchina.gov.cn）和中国政府采购网（www.ccgp.gov.cn）</w:t>
            </w:r>
            <w:r>
              <w:rPr>
                <w:rFonts w:hint="eastAsia" w:cstheme="minorBidi"/>
                <w:bCs/>
                <w:color w:val="000000" w:themeColor="text1"/>
                <w:kern w:val="2"/>
                <w:sz w:val="21"/>
                <w:szCs w:val="21"/>
                <w:lang w:val="zh-CN"/>
                <w14:textFill>
                  <w14:solidFill>
                    <w14:schemeClr w14:val="tx1"/>
                  </w14:solidFill>
                </w14:textFill>
              </w:rPr>
              <w:fldChar w:fldCharType="end"/>
            </w:r>
            <w:r>
              <w:rPr>
                <w:rFonts w:hint="eastAsia" w:cstheme="minorBidi"/>
                <w:bCs/>
                <w:color w:val="000000" w:themeColor="text1"/>
                <w:kern w:val="2"/>
                <w:sz w:val="21"/>
                <w:szCs w:val="21"/>
                <w:lang w:val="zh-CN"/>
                <w14:textFill>
                  <w14:solidFill>
                    <w14:schemeClr w14:val="tx1"/>
                  </w14:solidFill>
                </w14:textFill>
              </w:rPr>
              <w:t>进行信用记录查询；</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（2）查询时间：本项目资格审查时；</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（3）查询记录和证据留存的具体方式：与比选文件一并保存；</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（4）使用规则：对列入失信被执行人、重大税收违法案件当事人名单、政府采购严重违法失信行为记录名单的供应商，拒绝其参与政府采购活动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比选申请文件</w:t>
            </w:r>
            <w:r>
              <w:rPr>
                <w:rFonts w:cs="Times New Roman"/>
                <w:sz w:val="22"/>
                <w:szCs w:val="22"/>
                <w:lang w:val="zh-CN"/>
              </w:rPr>
              <w:t>有效期</w:t>
            </w:r>
          </w:p>
          <w:p>
            <w:pPr>
              <w:pStyle w:val="37"/>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提交比选申请文件截止之日起90日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合同分包</w:t>
            </w:r>
          </w:p>
          <w:p>
            <w:pPr>
              <w:pStyle w:val="37"/>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联合体</w:t>
            </w:r>
          </w:p>
          <w:p>
            <w:pPr>
              <w:pStyle w:val="37"/>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比选方法</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比选申请文件的份数</w:t>
            </w:r>
          </w:p>
          <w:p>
            <w:pPr>
              <w:pStyle w:val="37"/>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“比选申请文件”正本1份。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现场踏勘和答疑</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不举行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比选文件咨询</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电话：028-68939875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rPr>
              <w:t>比选结果</w:t>
            </w:r>
            <w:r>
              <w:rPr>
                <w:rFonts w:hint="eastAsia" w:ascii="宋体" w:hAnsi="宋体" w:eastAsia="宋体" w:cs="Times New Roman"/>
                <w:kern w:val="0"/>
                <w:sz w:val="22"/>
                <w:lang w:val="zh-CN"/>
              </w:rPr>
              <w:t>公告</w:t>
            </w:r>
          </w:p>
        </w:tc>
        <w:tc>
          <w:tcPr>
            <w:tcW w:w="6197" w:type="dxa"/>
            <w:vAlign w:val="center"/>
          </w:tcPr>
          <w:p>
            <w:pPr>
              <w:pStyle w:val="37"/>
              <w:spacing w:line="360" w:lineRule="auto"/>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比选结果将在“四川铁道职业学院官网”公告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本比选为非政府比选项目，比选文件中所有涉及政府采购相关内容均为参照执行；比选人不对结果作任何解释；最终解释权归比选人所有</w:t>
            </w:r>
          </w:p>
        </w:tc>
      </w:tr>
    </w:tbl>
    <w:p>
      <w:pPr>
        <w:spacing w:line="360" w:lineRule="auto"/>
        <w:ind w:firstLine="562" w:firstLineChars="200"/>
        <w:jc w:val="center"/>
        <w:outlineLvl w:val="1"/>
        <w:rPr>
          <w:rFonts w:hint="eastAsia" w:ascii="宋体" w:hAnsi="宋体" w:eastAsia="宋体" w:cs="Times New Roman"/>
          <w:b/>
          <w:sz w:val="28"/>
          <w:szCs w:val="28"/>
        </w:rPr>
      </w:pP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本比选文件仅适用于本次公开比选所叙述的货物和服务项目采购。</w:t>
      </w:r>
    </w:p>
    <w:p>
      <w:pPr>
        <w:spacing w:line="360" w:lineRule="auto"/>
        <w:ind w:firstLine="482" w:firstLineChars="200"/>
        <w:outlineLvl w:val="2"/>
        <w:rPr>
          <w:rFonts w:ascii="宋体" w:hAnsi="宋体" w:eastAsia="宋体" w:cs="Times New Roman"/>
          <w:b/>
          <w:sz w:val="24"/>
          <w:szCs w:val="24"/>
        </w:rPr>
      </w:pPr>
      <w:bookmarkStart w:id="6" w:name="_Toc217446035"/>
      <w:r>
        <w:rPr>
          <w:rFonts w:hint="eastAsia" w:ascii="宋体" w:hAnsi="宋体" w:eastAsia="宋体" w:cs="Times New Roman"/>
          <w:b/>
          <w:sz w:val="24"/>
          <w:szCs w:val="24"/>
        </w:rPr>
        <w:t>（二）</w:t>
      </w:r>
      <w:bookmarkEnd w:id="6"/>
      <w:r>
        <w:rPr>
          <w:rFonts w:hint="eastAsia" w:ascii="宋体" w:hAnsi="宋体" w:eastAsia="宋体" w:cs="Times New Roman"/>
          <w:b/>
          <w:sz w:val="24"/>
          <w:szCs w:val="24"/>
        </w:rPr>
        <w:t>比选主体</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1.“比选人”系指四川铁道职业学院。</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2.“申请人”系指拟参加比选和向比选人提供货物及相应服务的比选申请人。</w:t>
      </w:r>
    </w:p>
    <w:p>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1.比选文件所称的“以上”、“以下”、“以内”、“届满”，包括本数；所称的“不满”、“超过”、“以外”，不包括本数。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2.比选文件要求申请人提供原件资料的，文件均以“原件”字样作以标注；未作“原件”标注的，提供的资料可使用原件的复印件或影印件。</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1.具备“比选邀请”基本条件；</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3.比选文件和法律、行政法规规定的其他条件。</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rPr>
        <w:t>比选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申请人应自行承担参加比选活动的一切费用。</w:t>
      </w:r>
    </w:p>
    <w:p>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两个以上申请人可以组成一个联合体比选，以一个申请人的身份比选。以联合体形式参加比选的，联合体各方均应当符合《中华人民共和国政府采购法》第二十二条规定的条件。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3.联合体各方之间应当签订联合体比选协议，明确约定联合体各方承担的工作和相应的责任。联合体参与比选的，应在比选申请文件中提供联合体协议。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4.联合体应当确定其中一个单位为比选的全权代表，负责参加比选的一切事务。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5.联合体各方应当共同与比选人签订采购合同，就采购合同约定的事项对比选人承担连带责任。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7.以联合体形式参加比选活动的，联合体各方不得再单独参加或者与其他申请人另外组成联合体参加同一合同项下的比选活动。</w:t>
      </w:r>
    </w:p>
    <w:p>
      <w:pPr>
        <w:spacing w:line="360" w:lineRule="auto"/>
        <w:ind w:firstLine="562" w:firstLineChars="200"/>
        <w:jc w:val="center"/>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rPr>
        <w:t>比选</w:t>
      </w:r>
      <w:r>
        <w:rPr>
          <w:rFonts w:ascii="宋体" w:hAnsi="宋体" w:eastAsia="宋体" w:cs="Times New Roman"/>
          <w:b/>
          <w:sz w:val="28"/>
          <w:szCs w:val="28"/>
        </w:rPr>
        <w:t>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（一）比选文件的构成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582211"/>
      <w:bookmarkStart w:id="8" w:name="_Toc183682348"/>
      <w:bookmarkStart w:id="9" w:name="_Toc217446040"/>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（二）比选文件的澄清</w:t>
      </w:r>
      <w:bookmarkEnd w:id="7"/>
      <w:bookmarkEnd w:id="8"/>
      <w:r>
        <w:rPr>
          <w:rFonts w:hint="eastAsia" w:ascii="宋体" w:hAnsi="宋体" w:eastAsia="宋体" w:cs="Times New Roman"/>
          <w:b/>
          <w:sz w:val="24"/>
          <w:szCs w:val="24"/>
        </w:rPr>
        <w:t>和修改</w:t>
      </w:r>
      <w:bookmarkEnd w:id="9"/>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1.在提交比选申请文件截止时间前，比选人可以对比选文件进行澄清或者修改。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2.比选人对已发出的比选文件进行澄清或者修改，比选人将在网上发布更正公告。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四、比选申请文件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（一）比选申请文件的组成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1.申请人应按照比选文件的规定和要求编制比选申请文件。</w:t>
      </w:r>
      <w:r>
        <w:rPr>
          <w:rFonts w:hint="eastAsia" w:ascii="宋体" w:hAnsi="宋体" w:eastAsia="宋体" w:cs="Times New Roman"/>
          <w:b/>
          <w:bCs/>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（二）比选申请文件的语言（实质性要求）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3.如因未翻译而造成的比选申请文件无效风险，由申请人承担。</w:t>
      </w:r>
    </w:p>
    <w:p>
      <w:pPr>
        <w:spacing w:line="360" w:lineRule="auto"/>
        <w:ind w:firstLine="480" w:firstLineChars="200"/>
        <w:rPr>
          <w:rFonts w:ascii="宋体" w:hAnsi="宋体" w:eastAsia="宋体"/>
        </w:rPr>
      </w:pPr>
      <w:r>
        <w:rPr>
          <w:rFonts w:hint="eastAsia" w:ascii="宋体" w:hAnsi="宋体" w:eastAsia="宋体" w:cs="Times New Roman"/>
          <w:sz w:val="24"/>
          <w:szCs w:val="24"/>
        </w:rPr>
        <w:t>4.比选申请文件对不同文字文本的解释发生异议的，以中文文本为准。</w:t>
      </w:r>
      <w:bookmarkStart w:id="10" w:name="_Toc217446044"/>
      <w:bookmarkStart w:id="11" w:name="_Toc183682353"/>
      <w:bookmarkStart w:id="12" w:name="_Toc183582216"/>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（三）计量单位</w:t>
      </w:r>
      <w:bookmarkEnd w:id="10"/>
      <w:bookmarkEnd w:id="11"/>
      <w:bookmarkEnd w:id="12"/>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除比选文件中另有规定外，本次比选项目所有合同项下的报价均采用国家法定的计量单位。</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1.本次比选项目的报价货币为人民币，报价以比选文件规定为准。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2.申请人的报价应是申请人响应比选项目要求的全部工作内容的价格体现，是最终用户验收合格后的总价，包含了申请人完成本项目所需的一切费用，即项目包干价。</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（五）比选申请文件有效期（实质性要求）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本项目比选申请文件有效期为提交比选首次比选申请文件截止之日起</w:t>
      </w:r>
      <w:r>
        <w:rPr>
          <w:rFonts w:hint="eastAsia" w:ascii="宋体" w:hAnsi="宋体" w:eastAsia="宋体" w:cs="Times New Roman"/>
          <w:b/>
          <w:bCs/>
          <w:sz w:val="24"/>
          <w:szCs w:val="24"/>
        </w:rPr>
        <w:t>90</w:t>
      </w:r>
      <w:r>
        <w:rPr>
          <w:rFonts w:hint="eastAsia" w:ascii="宋体" w:hAnsi="宋体" w:eastAsia="宋体" w:cs="Times New Roman"/>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2.除非比选文件特别规定，比选人享有本项目实施过程中产生的知识成果及知识产权。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（七）比选申请文件格式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1.申请人应执行比选文件第六章的规定要求。</w:t>
      </w:r>
    </w:p>
    <w:p>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2.对于没有格式要求的比选文件由申请人自行编写。</w:t>
      </w:r>
    </w:p>
    <w:p>
      <w:pPr>
        <w:pStyle w:val="2"/>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（八）比选申请文件的编制和签署</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1.比选申请文件正本1份。</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2.比选申请文件密封袋的最外层可以注明比选项目名称、比选项目编号、包号及名称（若有）、申请人名称、“正本”字样。</w:t>
      </w:r>
    </w:p>
    <w:p>
      <w:pPr>
        <w:spacing w:line="360" w:lineRule="auto"/>
        <w:ind w:firstLine="480" w:firstLineChars="200"/>
        <w:rPr>
          <w:rFonts w:ascii="宋体" w:hAnsi="宋体" w:eastAsia="宋体"/>
        </w:rPr>
      </w:pPr>
      <w:r>
        <w:rPr>
          <w:rFonts w:hint="eastAsia" w:ascii="宋体" w:hAnsi="宋体" w:eastAsia="宋体" w:cs="Times New Roman"/>
          <w:sz w:val="24"/>
          <w:szCs w:val="24"/>
        </w:rPr>
        <w:t>3.比选申请文件应根据比选文件的要求签署、盖章。</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4.比选申请文件正本可采用打印或用不褪色、不变质的墨水书写。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pPr>
        <w:spacing w:line="360" w:lineRule="auto"/>
        <w:ind w:firstLine="480" w:firstLineChars="200"/>
        <w:rPr>
          <w:rFonts w:ascii="宋体" w:hAnsi="宋体" w:eastAsia="宋体"/>
          <w:b/>
          <w:sz w:val="24"/>
        </w:rPr>
      </w:pPr>
      <w:r>
        <w:rPr>
          <w:rFonts w:hint="eastAsia" w:ascii="宋体" w:hAnsi="宋体" w:eastAsia="宋体" w:cs="Times New Roman"/>
          <w:sz w:val="24"/>
          <w:szCs w:val="24"/>
        </w:rPr>
        <w:t>7.比选申请文件正本可以采用A4幅面纸胶装方式装订成册并逐页编码。</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（九）比选申请文件的密封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1.比选申请文件所有外层应当密封完好。</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2.未密封的比选申请文件，比选人将拒收或者在法定时间允许的范围内，要求修改完善后接收。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（十）比选申请文件的提交</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1.比选申请文件应在提交首次比选申请文件截止时间前送达。</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2.逾期送达或者未密封的比选申请文件，必选人应当拒收。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bookmarkStart w:id="13" w:name="_Toc217446055"/>
      <w:bookmarkStart w:id="14" w:name="_Toc183682365"/>
      <w:bookmarkStart w:id="15" w:name="_Toc183582228"/>
      <w:r>
        <w:rPr>
          <w:rFonts w:hint="eastAsia" w:ascii="宋体" w:hAnsi="宋体" w:eastAsia="宋体" w:cs="Times New Roman"/>
          <w:b/>
          <w:sz w:val="24"/>
          <w:szCs w:val="24"/>
        </w:rPr>
        <w:t>（十一）比选申请文件的修改和撤回</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1.申请人不得在提交截止时间起至比选申请文件有效期期满前撤回其比选申请文件。</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2.申请人对其提交的比选申请文件的真实性、合法性承担法律责任。</w:t>
      </w:r>
      <w:bookmarkEnd w:id="13"/>
      <w:bookmarkEnd w:id="14"/>
      <w:bookmarkEnd w:id="15"/>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五、比选会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1.比选人在比选文件规定的时间和地点组织比选，申请人须派代表参加并签到以证明其出席。</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2.比选会时，比选人对比选申请文件的密封情况进行检查。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3.当众宣布检查比选申请文件的密封情况。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4.宣布比选会结束。主持人宣布比选会结束后，所有申请人代表应立即退场。</w:t>
      </w:r>
    </w:p>
    <w:p>
      <w:pPr>
        <w:tabs>
          <w:tab w:val="left" w:pos="7665"/>
        </w:tabs>
        <w:spacing w:line="520" w:lineRule="exact"/>
        <w:ind w:firstLine="562" w:firstLineChars="200"/>
        <w:jc w:val="center"/>
        <w:rPr>
          <w:rFonts w:ascii="宋体" w:hAnsi="宋体" w:eastAsia="宋体" w:cs="Times New Roman"/>
          <w:b/>
          <w:sz w:val="28"/>
          <w:szCs w:val="28"/>
        </w:rPr>
      </w:pPr>
      <w:r>
        <w:rPr>
          <w:rFonts w:hint="eastAsia" w:ascii="宋体" w:hAnsi="宋体" w:eastAsia="宋体" w:cs="Times New Roman"/>
          <w:b/>
          <w:sz w:val="28"/>
          <w:szCs w:val="28"/>
        </w:rPr>
        <w:t>六、比选评审</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（一）比选评审</w:t>
      </w:r>
    </w:p>
    <w:p>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（二）成交通知书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1.成交通知书为签订采购合同的依据之一，是合同的有效组成部分。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2成交通知书对比选人和中选人均具有法律效力。成交通知书发出后，比选人无正当理由改变中选结果，或者中选人无正当理由放弃中选的，将承担相应的法律责任。</w:t>
      </w:r>
    </w:p>
    <w:p>
      <w:pPr>
        <w:spacing w:line="360" w:lineRule="auto"/>
        <w:ind w:firstLine="480" w:firstLineChars="200"/>
        <w:rPr>
          <w:rFonts w:ascii="宋体" w:hAnsi="宋体" w:eastAsia="宋体"/>
        </w:rPr>
      </w:pPr>
      <w:r>
        <w:rPr>
          <w:rFonts w:hint="eastAsia" w:ascii="宋体" w:hAnsi="宋体" w:eastAsia="宋体" w:cs="Times New Roman"/>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pPr>
        <w:spacing w:line="360" w:lineRule="auto"/>
        <w:ind w:firstLine="482" w:firstLineChars="200"/>
        <w:outlineLvl w:val="2"/>
        <w:rPr>
          <w:rFonts w:ascii="宋体" w:hAnsi="宋体" w:eastAsia="宋体" w:cs="Times New Roman"/>
          <w:b/>
          <w:sz w:val="24"/>
          <w:szCs w:val="24"/>
        </w:rPr>
      </w:pPr>
      <w:bookmarkStart w:id="16" w:name="_Toc209847069"/>
      <w:bookmarkStart w:id="17" w:name="_Toc101338364"/>
      <w:bookmarkStart w:id="18" w:name="_Toc430773927"/>
      <w:bookmarkStart w:id="19" w:name="_Toc101250646"/>
      <w:bookmarkStart w:id="20" w:name="_Toc101174151"/>
      <w:r>
        <w:rPr>
          <w:rFonts w:hint="eastAsia" w:ascii="宋体" w:hAnsi="宋体" w:eastAsia="宋体" w:cs="Times New Roman"/>
          <w:b/>
          <w:sz w:val="24"/>
          <w:szCs w:val="24"/>
        </w:rPr>
        <w:t>（一）签订合同</w:t>
      </w:r>
      <w:bookmarkEnd w:id="16"/>
      <w:bookmarkEnd w:id="17"/>
      <w:bookmarkEnd w:id="18"/>
      <w:bookmarkEnd w:id="19"/>
      <w:bookmarkEnd w:id="20"/>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1.中选人应在成交通知书发出之日起30日内与比选人签订采购合同。由于中选人的原因逾期未与比选人签订采购合同的，将视为放弃中选，取消其中选资格并将按相关规定进行处理。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2.比选文件、中选人的比选申请文件及双方确认的澄清文件等，均为有法律约束力的经济合同的组成部分。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4.中选人因不可抗力原因不能履行采购合同或放弃中选的，比选人可以与排在中选人之后第一位的中选候选人签订采购合同，以此类推。</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5.比选文件、中选人提交的比选申请文件、比选中的最后报价、中选人承诺书、成交通知书等均称为有法律约束力的合同组成内容。</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1.中选人与比选人签订合同后，合同双方应严格执行合同条款，履行合同规定的义务，保证合同的顺利完成。</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2.验收结果合格的，中选人凭验收报告办理相关手续；验收结果不合格的，比选人有权要求中选人履行相关义务，直到验收合格。</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pPr>
        <w:spacing w:line="360" w:lineRule="auto"/>
        <w:ind w:firstLine="480" w:firstLineChars="200"/>
        <w:rPr>
          <w:rFonts w:ascii="宋体" w:hAnsi="宋体" w:eastAsia="宋体"/>
        </w:rPr>
      </w:pPr>
      <w:r>
        <w:rPr>
          <w:rFonts w:hint="eastAsia" w:ascii="宋体" w:hAnsi="宋体" w:eastAsia="宋体" w:cs="Times New Roman"/>
          <w:sz w:val="24"/>
          <w:szCs w:val="24"/>
        </w:rPr>
        <w:t>比选人将按照采购合同规定，及时向中选人支付采购资金。本项目采购资金付款详见第四章规定的付款方式。</w:t>
      </w:r>
    </w:p>
    <w:p>
      <w:pPr>
        <w:numPr>
          <w:ilvl w:val="0"/>
          <w:numId w:val="4"/>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比选纪律要求（实质性要求）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1.申请人应当遵循公平竞争的原则，不得恶意串通，不得妨碍其他申请人的竞争行为，不得损害比选人或者其他申请人的合法权益。</w:t>
      </w:r>
    </w:p>
    <w:p>
      <w:pPr>
        <w:spacing w:line="360" w:lineRule="auto"/>
        <w:ind w:firstLine="480" w:firstLineChars="200"/>
        <w:rPr>
          <w:rFonts w:ascii="宋体" w:hAnsi="宋体" w:eastAsia="宋体"/>
        </w:rPr>
      </w:pPr>
      <w:r>
        <w:rPr>
          <w:rFonts w:hint="eastAsia" w:ascii="宋体" w:hAnsi="宋体" w:eastAsia="宋体" w:cs="Times New Roman"/>
          <w:sz w:val="24"/>
          <w:szCs w:val="24"/>
        </w:rPr>
        <w:t>2.在比选过程中发现申请人有上述情形的，比选评审委员会应当认定其无效响应，并书面报告主管部门。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（二）申请人禁止性行为，申请人参加本项目比选不得具有以下情形：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（3）与比选人、比选代理机构、或其他申请人恶意串通；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（4）向比选人、比选代理机构、比选评审委员会成员行贿或者提供其他不正当利益；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（5）在比选过程中与比选人、比选代理机构进行协商；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（6）中选后无正当理由拒不与比选人签订采购合同；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（7）未按照比选文件确定的事项签订采购合同；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pPr>
        <w:rPr>
          <w:rFonts w:ascii="宋体" w:hAnsi="宋体" w:eastAsia="宋体"/>
        </w:rPr>
      </w:pPr>
      <w:r>
        <w:rPr>
          <w:rFonts w:ascii="宋体" w:hAnsi="宋体" w:eastAsia="宋体"/>
        </w:rPr>
        <w:br w:type="page"/>
      </w:r>
    </w:p>
    <w:p>
      <w:pPr>
        <w:spacing w:line="360" w:lineRule="auto"/>
        <w:ind w:firstLine="361" w:firstLineChars="100"/>
        <w:jc w:val="both"/>
        <w:outlineLvl w:val="0"/>
        <w:rPr>
          <w:rFonts w:ascii="宋体" w:hAnsi="宋体" w:eastAsia="宋体"/>
          <w:bCs/>
          <w:color w:val="000000"/>
          <w:sz w:val="36"/>
          <w:szCs w:val="36"/>
        </w:rPr>
      </w:pPr>
      <w:bookmarkStart w:id="21" w:name="_Toc28291"/>
      <w:r>
        <w:rPr>
          <w:rFonts w:ascii="宋体" w:hAnsi="宋体" w:eastAsia="宋体"/>
          <w:b/>
          <w:color w:val="000000"/>
          <w:sz w:val="36"/>
          <w:szCs w:val="36"/>
        </w:rPr>
        <w:t>第</w:t>
      </w:r>
      <w:r>
        <w:rPr>
          <w:rFonts w:hint="eastAsia" w:ascii="宋体" w:hAnsi="宋体" w:eastAsia="宋体"/>
          <w:b/>
          <w:color w:val="000000"/>
          <w:sz w:val="36"/>
          <w:szCs w:val="36"/>
        </w:rPr>
        <w:t>三</w:t>
      </w:r>
      <w:r>
        <w:rPr>
          <w:rFonts w:ascii="宋体" w:hAnsi="宋体" w:eastAsia="宋体"/>
          <w:b/>
          <w:color w:val="000000"/>
          <w:sz w:val="36"/>
          <w:szCs w:val="36"/>
        </w:rPr>
        <w:t>章</w:t>
      </w:r>
      <w:r>
        <w:rPr>
          <w:rFonts w:hint="eastAsia" w:ascii="宋体" w:hAnsi="宋体" w:eastAsia="宋体"/>
          <w:b/>
          <w:color w:val="000000"/>
          <w:sz w:val="36"/>
          <w:szCs w:val="36"/>
        </w:rPr>
        <w:t xml:space="preserve"> 资格条件要求以及应当提供的资格证明材料</w:t>
      </w:r>
      <w:bookmarkEnd w:id="21"/>
    </w:p>
    <w:p>
      <w:pPr>
        <w:widowControl/>
        <w:spacing w:line="360" w:lineRule="atLeast"/>
        <w:ind w:firstLine="470" w:firstLineChars="196"/>
        <w:rPr>
          <w:rFonts w:ascii="宋体" w:hAnsi="宋体" w:eastAsia="宋体"/>
          <w:sz w:val="24"/>
        </w:rPr>
      </w:pPr>
    </w:p>
    <w:tbl>
      <w:tblPr>
        <w:tblStyle w:val="19"/>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449"/>
        <w:gridCol w:w="5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90"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序号</w:t>
            </w:r>
          </w:p>
        </w:tc>
        <w:tc>
          <w:tcPr>
            <w:tcW w:w="1351"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本项目的资格要求</w:t>
            </w:r>
          </w:p>
        </w:tc>
        <w:tc>
          <w:tcPr>
            <w:tcW w:w="3259" w:type="pct"/>
            <w:vAlign w:val="center"/>
          </w:tcPr>
          <w:p>
            <w:pPr>
              <w:adjustRightInd w:val="0"/>
              <w:spacing w:line="36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申请人</w:t>
            </w:r>
            <w:r>
              <w:rPr>
                <w:rFonts w:ascii="宋体" w:hAnsi="宋体" w:eastAsia="宋体" w:cs="Times New Roman"/>
                <w:b/>
                <w:kern w:val="0"/>
                <w:sz w:val="24"/>
                <w:szCs w:val="24"/>
              </w:rPr>
              <w:t>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90"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1</w:t>
            </w:r>
          </w:p>
        </w:tc>
        <w:tc>
          <w:tcPr>
            <w:tcW w:w="1351"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具有独立承担民事责任的能力</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（1）申请人若为企业法人：提供“统一社会信用代码营业执照”；未换证的提供“营业执照、税务登记证、组织机构代码证或三证合一的营业执照”；</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（2）若为事业法人：提供“统一社会信用代码法人登记证书”；未换证的提交“事业法人登记证书、组织机构代码证”；</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（3）若为其他组织：提供“对应主管部门颁发的准许执业证明文件或营业执照”；</w:t>
            </w:r>
          </w:p>
          <w:p>
            <w:pPr>
              <w:adjustRightInd w:val="0"/>
              <w:spacing w:line="360" w:lineRule="exact"/>
              <w:jc w:val="left"/>
              <w:rPr>
                <w:rFonts w:ascii="宋体" w:hAnsi="宋体" w:eastAsia="宋体" w:cs="Times New Roman"/>
                <w:kern w:val="0"/>
                <w:szCs w:val="21"/>
              </w:rPr>
            </w:pPr>
            <w:r>
              <w:rPr>
                <w:rFonts w:hint="eastAsia" w:ascii="宋体" w:hAnsi="宋体" w:eastAsia="宋体" w:cs="Times New Roman"/>
                <w:bCs/>
                <w:kern w:val="0"/>
                <w:szCs w:val="21"/>
              </w:rPr>
              <w:t>（4）若为自然人：提供“身份证明材料”；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2</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具有健全的财务会计制度</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
                <w:color w:val="000000" w:themeColor="text1"/>
                <w:kern w:val="0"/>
                <w:szCs w:val="21"/>
                <w14:textFill>
                  <w14:solidFill>
                    <w14:schemeClr w14:val="tx1"/>
                  </w14:solidFill>
                </w14:textFill>
              </w:rPr>
              <w:t>申请人根据自身情况选择提供其中任意一项：</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（1）可提供2021或2022年度经审计的财务报告复印件（包含审计报告和审计报告中所涉及的财务报表和报表附注）；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（2）也可提供申请人内部的2021或2022年度财务报表复印件（至少包含资产负债表）；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（3）也可提供截至提交首次比选申请文件截止日一年内银行出具的资信证明（复印件）；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（4）申请人注册时间截至提交首次比选申请文件截止日不足一年的，也可提供工商管理部门备案的学校章程（复印件）；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（5）申请人为个体工商户或自然人时，可提供承诺函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3</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具有良好的商业信誉</w:t>
            </w:r>
            <w:r>
              <w:rPr>
                <w:rFonts w:hint="eastAsia" w:ascii="宋体" w:hAnsi="宋体" w:eastAsia="宋体" w:cs="Times New Roman"/>
                <w:b/>
                <w:color w:val="000000" w:themeColor="text1"/>
                <w:kern w:val="0"/>
                <w:szCs w:val="21"/>
                <w14:textFill>
                  <w14:solidFill>
                    <w14:schemeClr w14:val="tx1"/>
                  </w14:solidFill>
                </w14:textFill>
              </w:rPr>
              <w:t>和</w:t>
            </w:r>
            <w:r>
              <w:rPr>
                <w:rFonts w:ascii="宋体" w:hAnsi="宋体" w:eastAsia="宋体" w:cs="Times New Roman"/>
                <w:b/>
                <w:color w:val="000000" w:themeColor="text1"/>
                <w:kern w:val="0"/>
                <w:szCs w:val="21"/>
                <w14:textFill>
                  <w14:solidFill>
                    <w14:schemeClr w14:val="tx1"/>
                  </w14:solidFill>
                </w14:textFill>
              </w:rPr>
              <w:t>履行合同所必需的设备和专业技术能力</w:t>
            </w:r>
          </w:p>
        </w:tc>
        <w:tc>
          <w:tcPr>
            <w:tcW w:w="3259" w:type="pct"/>
            <w:vMerge w:val="restart"/>
            <w:vAlign w:val="center"/>
          </w:tcPr>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统一</w:t>
            </w:r>
            <w:r>
              <w:rPr>
                <w:rFonts w:ascii="宋体" w:hAnsi="宋体" w:eastAsia="宋体" w:cs="Times New Roman"/>
                <w:bCs/>
                <w:kern w:val="0"/>
                <w:szCs w:val="21"/>
              </w:rPr>
              <w:t>提供承诺函</w:t>
            </w:r>
          </w:p>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4</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有依法缴纳税收和社会保障资金的良好记录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5</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参加本次比选活动前三年内，在经营活动中没有重大违法记录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6</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法律、行政法规规定的其他条件</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7</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其他类似效力要求：授权参加本次比选活动的申请人代表证明</w:t>
            </w:r>
          </w:p>
        </w:tc>
        <w:tc>
          <w:tcPr>
            <w:tcW w:w="3259" w:type="pct"/>
            <w:vAlign w:val="center"/>
          </w:tcPr>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（1）法定代表人/单位负责人授权书原件（非法定代表人或单位负责人参与比选时提供，格式见第六章）；</w:t>
            </w:r>
          </w:p>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（2）法定代表人/单位负责人参与比选时只须提供法定代表人/单位负责人身份证复印件</w:t>
            </w:r>
          </w:p>
        </w:tc>
      </w:tr>
    </w:tbl>
    <w:p>
      <w:pPr>
        <w:rPr>
          <w:rFonts w:ascii="宋体" w:hAnsi="宋体" w:eastAsia="宋体"/>
        </w:rPr>
      </w:pPr>
      <w:r>
        <w:rPr>
          <w:rFonts w:ascii="宋体" w:hAnsi="宋体" w:eastAsia="宋体"/>
        </w:rPr>
        <w:br w:type="page"/>
      </w:r>
    </w:p>
    <w:p>
      <w:pPr>
        <w:pStyle w:val="3"/>
        <w:spacing w:before="0" w:after="0" w:line="240" w:lineRule="auto"/>
        <w:jc w:val="center"/>
        <w:rPr>
          <w:rFonts w:ascii="宋体" w:hAnsi="宋体" w:eastAsia="宋体"/>
          <w:sz w:val="22"/>
          <w:szCs w:val="22"/>
        </w:rPr>
      </w:pPr>
      <w:bookmarkStart w:id="22" w:name="_Toc23416"/>
      <w:bookmarkStart w:id="23" w:name="_Toc13420"/>
      <w:bookmarkStart w:id="24" w:name="_Toc22092"/>
      <w:bookmarkStart w:id="25" w:name="_Toc18798"/>
      <w:r>
        <w:rPr>
          <w:rFonts w:ascii="宋体" w:hAnsi="宋体" w:eastAsia="宋体"/>
          <w:color w:val="000000"/>
          <w:sz w:val="36"/>
          <w:szCs w:val="36"/>
        </w:rPr>
        <w:t xml:space="preserve">第四章 </w:t>
      </w:r>
      <w:bookmarkEnd w:id="22"/>
      <w:bookmarkEnd w:id="23"/>
      <w:r>
        <w:rPr>
          <w:rFonts w:hint="eastAsia" w:ascii="宋体" w:hAnsi="宋体" w:eastAsia="宋体"/>
          <w:color w:val="000000"/>
          <w:sz w:val="36"/>
          <w:szCs w:val="36"/>
        </w:rPr>
        <w:t>比选内容及要求</w:t>
      </w:r>
      <w:bookmarkEnd w:id="24"/>
      <w:bookmarkStart w:id="26" w:name="_Toc31717"/>
    </w:p>
    <w:p>
      <w:pPr>
        <w:spacing w:line="360" w:lineRule="auto"/>
        <w:ind w:firstLine="480" w:firstLineChars="200"/>
        <w:jc w:val="left"/>
        <w:rPr>
          <w:rFonts w:ascii="宋体" w:hAnsi="宋体" w:eastAsia="宋体" w:cs="仿宋"/>
          <w:b/>
          <w:bCs/>
          <w:sz w:val="28"/>
          <w:szCs w:val="24"/>
          <w:lang w:val="zh-CN"/>
        </w:rPr>
      </w:pPr>
      <w:r>
        <w:rPr>
          <w:rFonts w:hint="eastAsia" w:ascii="宋体" w:hAnsi="宋体" w:eastAsia="宋体" w:cs="Times New Roman"/>
          <w:sz w:val="24"/>
          <w:szCs w:val="24"/>
          <w:lang w:val="zh-CN"/>
        </w:rPr>
        <w:t>一、</w:t>
      </w:r>
      <w:r>
        <w:rPr>
          <w:rFonts w:hint="eastAsia" w:ascii="宋体" w:hAnsi="宋体" w:eastAsia="宋体" w:cs="仿宋"/>
          <w:b/>
          <w:bCs/>
          <w:sz w:val="28"/>
          <w:szCs w:val="24"/>
          <w:lang w:val="zh-CN"/>
        </w:rPr>
        <w:t>项目概述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随着互联网技术的快速发展，在线教育逐渐成为一种便捷、高效的学习方式。教学资源作为在线教育的重要形式，具有直观、易懂的优点，能够满足不同学习者的需求。本方案旨在构建一套完善的教学资源建设体系，提高资源质量，促进在线教育的普及和发展。根据市场需求和学习者需求，确定教学资源的主题和内容。针对不同学科、年龄段和兴趣领域，制定合理的教学计划，确保教学资源内容具有针对性和实用性。提供高质量的教学视频，满足不同学习者的需求。来提高在线教育的普及率和影响力，为教师提供新的教学资源和教学方法，促进教育技术的发展，为学习者提供更加便捷、高效的学习方式，促进终身学习的发展。为保证资源开发质量，要求如下：</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1.使用高清摄像设备进行视频拍摄，确保画面质量。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2.采用专业的视频剪辑软件进行后期处理，如Adobe Premiere Pro、Final Cut Pro等。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3.采用专业的二维/三维动画软件制作工具，模型和原画能达到高质量要求。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4.根据不同平台的要求，进行视频格式转换和上传发布。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5.利用云存储技术，保障视频的安全性和稳定性。</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6.定期进行技术培训和团队交流，提高团队成员的文案技术水平。</w:t>
      </w:r>
    </w:p>
    <w:p>
      <w:pPr>
        <w:spacing w:line="360" w:lineRule="auto"/>
        <w:ind w:firstLine="480" w:firstLineChars="200"/>
        <w:rPr>
          <w:rFonts w:ascii="宋体" w:hAnsi="宋体" w:eastAsia="宋体" w:cs="Times New Roman"/>
          <w:sz w:val="24"/>
          <w:szCs w:val="24"/>
        </w:rPr>
        <w:sectPr>
          <w:pgSz w:w="11906" w:h="16838"/>
          <w:pgMar w:top="1361" w:right="1531" w:bottom="1361" w:left="1531" w:header="851" w:footer="992" w:gutter="0"/>
          <w:cols w:space="425" w:num="1"/>
          <w:docGrid w:type="lines" w:linePitch="312" w:charSpace="0"/>
        </w:sectPr>
      </w:pPr>
    </w:p>
    <w:p>
      <w:pPr>
        <w:numPr>
          <w:ilvl w:val="0"/>
          <w:numId w:val="0"/>
        </w:numPr>
        <w:tabs>
          <w:tab w:val="left" w:pos="541"/>
        </w:tabs>
        <w:snapToGrid w:val="0"/>
        <w:spacing w:line="560" w:lineRule="exact"/>
        <w:textAlignment w:val="baseline"/>
        <w:outlineLvl w:val="1"/>
        <w:rPr>
          <w:rFonts w:ascii="宋体" w:hAnsi="宋体" w:eastAsia="宋体" w:cs="仿宋"/>
          <w:b/>
          <w:bCs/>
          <w:sz w:val="28"/>
          <w:szCs w:val="24"/>
          <w:lang w:val="zh-CN"/>
        </w:rPr>
      </w:pPr>
      <w:r>
        <w:rPr>
          <w:rFonts w:hint="eastAsia" w:ascii="宋体" w:hAnsi="宋体" w:eastAsia="宋体" w:cs="仿宋"/>
          <w:b/>
          <w:bCs/>
          <w:sz w:val="28"/>
          <w:szCs w:val="24"/>
          <w:lang w:val="zh-CN"/>
        </w:rPr>
        <w:t>二、技术</w:t>
      </w:r>
      <w:r>
        <w:rPr>
          <w:rFonts w:hint="eastAsia" w:ascii="宋体" w:hAnsi="宋体" w:eastAsia="宋体" w:cs="仿宋"/>
          <w:b/>
          <w:bCs/>
          <w:sz w:val="28"/>
          <w:szCs w:val="24"/>
        </w:rPr>
        <w:t>参数</w:t>
      </w:r>
      <w:r>
        <w:rPr>
          <w:rFonts w:hint="eastAsia" w:ascii="宋体" w:hAnsi="宋体" w:eastAsia="宋体" w:cs="仿宋"/>
          <w:b/>
          <w:bCs/>
          <w:sz w:val="28"/>
          <w:szCs w:val="24"/>
          <w:lang w:val="zh-CN"/>
        </w:rPr>
        <w:t>要求</w:t>
      </w:r>
    </w:p>
    <w:tbl>
      <w:tblPr>
        <w:tblStyle w:val="18"/>
        <w:tblW w:w="90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05"/>
        <w:gridCol w:w="1537"/>
        <w:gridCol w:w="567"/>
        <w:gridCol w:w="567"/>
        <w:gridCol w:w="4961"/>
        <w:gridCol w:w="79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60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1537"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567"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数量</w:t>
            </w:r>
          </w:p>
        </w:tc>
        <w:tc>
          <w:tcPr>
            <w:tcW w:w="567"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单位</w:t>
            </w:r>
          </w:p>
        </w:tc>
        <w:tc>
          <w:tcPr>
            <w:tcW w:w="496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主要技术参数</w:t>
            </w:r>
          </w:p>
        </w:tc>
        <w:tc>
          <w:tcPr>
            <w:tcW w:w="79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75" w:hRule="atLeast"/>
        </w:trPr>
        <w:tc>
          <w:tcPr>
            <w:tcW w:w="60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37" w:type="dxa"/>
            <w:tcBorders>
              <w:top w:val="single" w:color="auto" w:sz="8" w:space="0"/>
              <w:left w:val="single" w:color="auto" w:sz="8" w:space="0"/>
              <w:bottom w:val="single" w:color="auto" w:sz="8" w:space="0"/>
              <w:right w:val="single" w:color="auto" w:sz="8" w:space="0"/>
            </w:tcBorders>
            <w:vAlign w:val="center"/>
          </w:tcPr>
          <w:p>
            <w:pPr>
              <w:spacing w:line="360" w:lineRule="auto"/>
              <w:outlineLvl w:val="1"/>
              <w:rPr>
                <w:rFonts w:ascii="宋体" w:hAnsi="宋体" w:eastAsia="宋体" w:cs="Times New Roman"/>
                <w:sz w:val="24"/>
                <w:szCs w:val="24"/>
                <w:u w:val="single"/>
              </w:rPr>
            </w:pPr>
            <w:r>
              <w:rPr>
                <w:rFonts w:hint="eastAsia" w:ascii="宋体" w:hAnsi="宋体" w:eastAsia="宋体" w:cs="Times New Roman"/>
                <w:sz w:val="24"/>
                <w:szCs w:val="24"/>
              </w:rPr>
              <w:t>铁道机车专业课程建设及教学改革研究项目</w:t>
            </w:r>
          </w:p>
          <w:p>
            <w:pPr>
              <w:spacing w:line="360" w:lineRule="auto"/>
              <w:outlineLvl w:val="1"/>
              <w:rPr>
                <w:rFonts w:ascii="宋体" w:hAnsi="宋体" w:eastAsia="宋体" w:cs="Times New Roman"/>
                <w:sz w:val="24"/>
                <w:szCs w:val="24"/>
                <w:u w:val="single"/>
              </w:rPr>
            </w:pPr>
          </w:p>
          <w:p>
            <w:pPr>
              <w:widowControl/>
              <w:spacing w:line="360" w:lineRule="auto"/>
              <w:jc w:val="center"/>
              <w:rPr>
                <w:rFonts w:ascii="宋体" w:hAnsi="宋体" w:eastAsia="宋体" w:cs="宋体"/>
                <w:kern w:val="0"/>
                <w:sz w:val="24"/>
                <w:szCs w:val="24"/>
              </w:rPr>
            </w:pPr>
          </w:p>
        </w:tc>
        <w:tc>
          <w:tcPr>
            <w:tcW w:w="567"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67" w:type="dxa"/>
            <w:tcBorders>
              <w:top w:val="single" w:color="auto" w:sz="8" w:space="0"/>
              <w:left w:val="single" w:color="auto" w:sz="8" w:space="0"/>
              <w:bottom w:val="single" w:color="auto" w:sz="8" w:space="0"/>
              <w:right w:val="single" w:color="auto" w:sz="8" w:space="0"/>
            </w:tcBorders>
            <w:vAlign w:val="center"/>
          </w:tcPr>
          <w:p>
            <w:pPr>
              <w:widowControl/>
              <w:spacing w:line="360" w:lineRule="auto"/>
              <w:rPr>
                <w:rFonts w:ascii="宋体" w:hAnsi="宋体" w:eastAsia="宋体" w:cs="宋体"/>
                <w:kern w:val="0"/>
                <w:sz w:val="24"/>
                <w:szCs w:val="24"/>
              </w:rPr>
            </w:pPr>
            <w:r>
              <w:rPr>
                <w:rFonts w:hint="eastAsia" w:ascii="宋体" w:hAnsi="宋体" w:eastAsia="宋体" w:cs="宋体"/>
                <w:sz w:val="24"/>
                <w:szCs w:val="24"/>
              </w:rPr>
              <w:t>套</w:t>
            </w:r>
          </w:p>
        </w:tc>
        <w:tc>
          <w:tcPr>
            <w:tcW w:w="4961"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eastAsia="宋体" w:cs="宋体"/>
                <w:color w:val="7030A0"/>
                <w:sz w:val="24"/>
                <w:szCs w:val="24"/>
              </w:rPr>
            </w:pPr>
            <w:r>
              <w:rPr>
                <w:rFonts w:hint="eastAsia" w:ascii="宋体" w:hAnsi="宋体" w:eastAsia="宋体" w:cs="Times New Roman"/>
                <w:sz w:val="24"/>
                <w:szCs w:val="24"/>
              </w:rPr>
              <w:t>本次铁道机车专业类教学资源建设要求构建一套完善的教学资源建设体系，提高资源质量，用于铁道机车相关课程建设需要。</w:t>
            </w:r>
          </w:p>
          <w:p>
            <w:pPr>
              <w:spacing w:line="360" w:lineRule="auto"/>
              <w:rPr>
                <w:rFonts w:ascii="宋体" w:hAnsi="宋体" w:eastAsia="宋体" w:cs="Times New Roman"/>
                <w:sz w:val="24"/>
                <w:szCs w:val="24"/>
              </w:rPr>
            </w:pPr>
            <w:r>
              <w:rPr>
                <w:rFonts w:hint="eastAsia" w:ascii="宋体" w:hAnsi="宋体" w:eastAsia="宋体" w:cs="Times New Roman"/>
                <w:b/>
                <w:bCs/>
                <w:sz w:val="24"/>
                <w:szCs w:val="24"/>
              </w:rPr>
              <w:t>一、建设内容</w:t>
            </w:r>
          </w:p>
          <w:p>
            <w:pPr>
              <w:spacing w:line="360" w:lineRule="auto"/>
              <w:ind w:firstLine="420" w:firstLineChars="200"/>
              <w:rPr>
                <w:rFonts w:ascii="宋体" w:hAnsi="宋体" w:eastAsia="宋体" w:cs="Times New Roman"/>
                <w:sz w:val="24"/>
                <w:szCs w:val="24"/>
              </w:rPr>
            </w:pPr>
            <w:r>
              <w:rPr>
                <w:rFonts w:hint="eastAsia" w:ascii="仿宋" w:hAnsi="仿宋" w:eastAsia="仿宋" w:cs="仿宋"/>
                <w:color w:val="000000"/>
                <w:kern w:val="0"/>
                <w:szCs w:val="21"/>
                <w:lang w:bidi="ar"/>
              </w:rPr>
              <w:t>▲</w:t>
            </w:r>
            <w:r>
              <w:rPr>
                <w:rFonts w:hint="eastAsia" w:ascii="宋体" w:hAnsi="宋体" w:eastAsia="宋体" w:cs="Times New Roman"/>
                <w:sz w:val="24"/>
                <w:szCs w:val="24"/>
              </w:rPr>
              <w:t>1.机车运行类：至少包括单机救援发生行车冲突、调车或单机转线作业不确认信号挤坏道岔、列车运行中分离等不少于14个动画资源建设。</w:t>
            </w:r>
          </w:p>
          <w:p>
            <w:pPr>
              <w:spacing w:line="360" w:lineRule="auto"/>
              <w:ind w:firstLine="420" w:firstLineChars="200"/>
              <w:rPr>
                <w:rFonts w:ascii="宋体" w:hAnsi="宋体" w:eastAsia="宋体" w:cs="Times New Roman"/>
                <w:sz w:val="24"/>
                <w:szCs w:val="24"/>
              </w:rPr>
            </w:pPr>
            <w:r>
              <w:rPr>
                <w:rFonts w:hint="eastAsia" w:ascii="仿宋" w:hAnsi="仿宋" w:eastAsia="仿宋" w:cs="仿宋"/>
                <w:color w:val="000000"/>
                <w:kern w:val="0"/>
                <w:szCs w:val="21"/>
                <w:lang w:bidi="ar"/>
              </w:rPr>
              <w:t>▲</w:t>
            </w:r>
            <w:r>
              <w:rPr>
                <w:rFonts w:hint="eastAsia" w:ascii="宋体" w:hAnsi="宋体" w:eastAsia="宋体" w:cs="Times New Roman"/>
                <w:sz w:val="24"/>
                <w:szCs w:val="24"/>
              </w:rPr>
              <w:t>2.结构原理类：至少牵引电机的结构和工作原理、真空断路器的结构和原理等不少于4个三维动画资源建设。</w:t>
            </w:r>
          </w:p>
          <w:p>
            <w:pPr>
              <w:spacing w:line="360" w:lineRule="auto"/>
              <w:ind w:firstLine="420" w:firstLineChars="200"/>
              <w:rPr>
                <w:rFonts w:ascii="宋体" w:hAnsi="宋体" w:eastAsia="宋体" w:cs="Times New Roman"/>
                <w:sz w:val="24"/>
                <w:szCs w:val="24"/>
              </w:rPr>
            </w:pPr>
            <w:r>
              <w:rPr>
                <w:rFonts w:hint="eastAsia" w:ascii="仿宋" w:hAnsi="仿宋" w:eastAsia="仿宋" w:cs="仿宋"/>
                <w:color w:val="000000"/>
                <w:kern w:val="0"/>
                <w:szCs w:val="21"/>
                <w:lang w:bidi="ar"/>
              </w:rPr>
              <w:t>▲</w:t>
            </w:r>
            <w:r>
              <w:rPr>
                <w:rFonts w:hint="eastAsia" w:ascii="宋体" w:hAnsi="宋体" w:eastAsia="宋体" w:cs="Times New Roman"/>
                <w:sz w:val="24"/>
                <w:szCs w:val="24"/>
              </w:rPr>
              <w:t>3.机车检查类：无损探伤检测方法、机车轮对探伤检测、HXD1C 转向架检查、HXD1C动态试验、HXD1C机车车上电器静态检查等不少于6个实训视频资源建设。</w:t>
            </w:r>
          </w:p>
          <w:p>
            <w:pPr>
              <w:spacing w:line="360" w:lineRule="auto"/>
              <w:rPr>
                <w:rFonts w:ascii="宋体" w:hAnsi="宋体" w:eastAsia="宋体" w:cs="Times New Roman"/>
                <w:sz w:val="24"/>
                <w:szCs w:val="24"/>
              </w:rPr>
            </w:pPr>
            <w:r>
              <w:rPr>
                <w:rFonts w:hint="eastAsia" w:ascii="宋体" w:hAnsi="宋体" w:eastAsia="宋体" w:cs="Times New Roman"/>
                <w:b/>
                <w:bCs/>
                <w:sz w:val="24"/>
                <w:szCs w:val="24"/>
              </w:rPr>
              <w:t>二、资源清单</w:t>
            </w:r>
          </w:p>
          <w:p>
            <w:pPr>
              <w:numPr>
                <w:ilvl w:val="0"/>
                <w:numId w:val="0"/>
              </w:numPr>
              <w:spacing w:line="360" w:lineRule="auto"/>
              <w:outlineLvl w:val="1"/>
              <w:rPr>
                <w:rFonts w:ascii="宋体" w:hAnsi="宋体" w:eastAsia="宋体" w:cs="Times New Roman"/>
                <w:sz w:val="24"/>
                <w:szCs w:val="24"/>
              </w:rPr>
            </w:pPr>
            <w:r>
              <w:rPr>
                <w:rFonts w:hint="eastAsia" w:ascii="宋体" w:hAnsi="宋体" w:eastAsia="宋体" w:cs="Times New Roman"/>
                <w:sz w:val="24"/>
                <w:szCs w:val="24"/>
              </w:rPr>
              <w:t>本次铁道机车专业课程建设及教学改革研究项目清单要求至少包含以下内容：</w:t>
            </w:r>
          </w:p>
          <w:tbl>
            <w:tblPr>
              <w:tblStyle w:val="18"/>
              <w:tblW w:w="4559" w:type="dxa"/>
              <w:tblInd w:w="0" w:type="dxa"/>
              <w:tblLayout w:type="fixed"/>
              <w:tblCellMar>
                <w:top w:w="0" w:type="dxa"/>
                <w:left w:w="108" w:type="dxa"/>
                <w:bottom w:w="0" w:type="dxa"/>
                <w:right w:w="108" w:type="dxa"/>
              </w:tblCellMar>
            </w:tblPr>
            <w:tblGrid>
              <w:gridCol w:w="1050"/>
              <w:gridCol w:w="3509"/>
            </w:tblGrid>
            <w:tr>
              <w:trPr>
                <w:trHeight w:val="542"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仿宋"/>
                      <w:b/>
                      <w:bCs/>
                      <w:sz w:val="24"/>
                      <w:szCs w:val="24"/>
                    </w:rPr>
                    <w:t>☆</w:t>
                  </w:r>
                  <w:r>
                    <w:rPr>
                      <w:rFonts w:hint="eastAsia" w:ascii="宋体" w:hAnsi="宋体" w:eastAsia="宋体" w:cs="宋体"/>
                      <w:color w:val="000000"/>
                      <w:kern w:val="0"/>
                      <w:sz w:val="24"/>
                      <w:szCs w:val="24"/>
                      <w:lang w:bidi="ar"/>
                    </w:rPr>
                    <w:t>1</w:t>
                  </w:r>
                </w:p>
              </w:tc>
              <w:tc>
                <w:tcPr>
                  <w:tcW w:w="3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4"/>
                      <w:szCs w:val="24"/>
                    </w:rPr>
                  </w:pPr>
                  <w:r>
                    <w:rPr>
                      <w:rStyle w:val="52"/>
                      <w:rFonts w:hint="default"/>
                      <w:lang w:bidi="ar"/>
                    </w:rPr>
                    <w:t>单机救援发生行车冲突</w:t>
                  </w:r>
                </w:p>
              </w:tc>
            </w:tr>
            <w:tr>
              <w:tblPrEx>
                <w:tblCellMar>
                  <w:top w:w="0" w:type="dxa"/>
                  <w:left w:w="108" w:type="dxa"/>
                  <w:bottom w:w="0" w:type="dxa"/>
                  <w:right w:w="108" w:type="dxa"/>
                </w:tblCellMar>
              </w:tblPrEx>
              <w:trPr>
                <w:trHeight w:val="808"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仿宋" w:hAnsi="仿宋" w:eastAsia="仿宋" w:cs="仿宋"/>
                      <w:color w:val="000000"/>
                      <w:kern w:val="0"/>
                      <w:szCs w:val="21"/>
                      <w:lang w:bidi="ar"/>
                    </w:rPr>
                    <w:t>●</w:t>
                  </w:r>
                  <w:r>
                    <w:rPr>
                      <w:rFonts w:hint="eastAsia" w:ascii="宋体" w:hAnsi="宋体" w:eastAsia="宋体" w:cs="宋体"/>
                      <w:color w:val="000000"/>
                      <w:kern w:val="0"/>
                      <w:sz w:val="24"/>
                      <w:szCs w:val="24"/>
                      <w:lang w:bidi="ar"/>
                    </w:rPr>
                    <w:t>2</w:t>
                  </w:r>
                </w:p>
              </w:tc>
              <w:tc>
                <w:tcPr>
                  <w:tcW w:w="3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调车或单机转线作业不确认信号挤坏道岔</w:t>
                  </w:r>
                </w:p>
              </w:tc>
            </w:tr>
            <w:tr>
              <w:tblPrEx>
                <w:tblCellMar>
                  <w:top w:w="0" w:type="dxa"/>
                  <w:left w:w="108" w:type="dxa"/>
                  <w:bottom w:w="0" w:type="dxa"/>
                  <w:right w:w="108" w:type="dxa"/>
                </w:tblCellMar>
              </w:tblPrEx>
              <w:trPr>
                <w:trHeight w:val="542"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仿宋"/>
                      <w:b/>
                      <w:bCs/>
                      <w:sz w:val="24"/>
                      <w:szCs w:val="24"/>
                    </w:rPr>
                    <w:t>☆</w:t>
                  </w:r>
                  <w:r>
                    <w:rPr>
                      <w:rFonts w:hint="eastAsia" w:ascii="宋体" w:hAnsi="宋体" w:eastAsia="宋体" w:cs="宋体"/>
                      <w:color w:val="000000"/>
                      <w:kern w:val="0"/>
                      <w:sz w:val="24"/>
                      <w:szCs w:val="24"/>
                      <w:lang w:bidi="ar"/>
                    </w:rPr>
                    <w:t>3</w:t>
                  </w:r>
                </w:p>
              </w:tc>
              <w:tc>
                <w:tcPr>
                  <w:tcW w:w="3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列车运行中分离</w:t>
                  </w:r>
                </w:p>
              </w:tc>
            </w:tr>
            <w:tr>
              <w:tblPrEx>
                <w:tblCellMar>
                  <w:top w:w="0" w:type="dxa"/>
                  <w:left w:w="108" w:type="dxa"/>
                  <w:bottom w:w="0" w:type="dxa"/>
                  <w:right w:w="108" w:type="dxa"/>
                </w:tblCellMar>
              </w:tblPrEx>
              <w:trPr>
                <w:trHeight w:val="808"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仿宋" w:hAnsi="仿宋" w:eastAsia="仿宋" w:cs="仿宋"/>
                      <w:color w:val="000000"/>
                      <w:kern w:val="0"/>
                      <w:szCs w:val="21"/>
                      <w:lang w:bidi="ar"/>
                    </w:rPr>
                    <w:t>●</w:t>
                  </w:r>
                  <w:r>
                    <w:rPr>
                      <w:rFonts w:hint="eastAsia" w:ascii="宋体" w:hAnsi="宋体" w:eastAsia="宋体" w:cs="宋体"/>
                      <w:color w:val="000000"/>
                      <w:kern w:val="0"/>
                      <w:sz w:val="24"/>
                      <w:szCs w:val="24"/>
                      <w:lang w:bidi="ar"/>
                    </w:rPr>
                    <w:t>4</w:t>
                  </w:r>
                </w:p>
              </w:tc>
              <w:tc>
                <w:tcPr>
                  <w:tcW w:w="3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4"/>
                      <w:szCs w:val="24"/>
                    </w:rPr>
                  </w:pPr>
                  <w:r>
                    <w:rPr>
                      <w:rStyle w:val="52"/>
                      <w:rFonts w:hint="default"/>
                      <w:lang w:bidi="ar"/>
                    </w:rPr>
                    <w:t>库内停留机车溜逸与车站内客车体相撞</w:t>
                  </w:r>
                </w:p>
              </w:tc>
            </w:tr>
            <w:tr>
              <w:tblPrEx>
                <w:tblCellMar>
                  <w:top w:w="0" w:type="dxa"/>
                  <w:left w:w="108" w:type="dxa"/>
                  <w:bottom w:w="0" w:type="dxa"/>
                  <w:right w:w="108" w:type="dxa"/>
                </w:tblCellMar>
              </w:tblPrEx>
              <w:trPr>
                <w:trHeight w:val="542"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仿宋" w:hAnsi="仿宋" w:eastAsia="仿宋" w:cs="仿宋"/>
                      <w:color w:val="000000"/>
                      <w:kern w:val="0"/>
                      <w:szCs w:val="21"/>
                      <w:lang w:bidi="ar"/>
                    </w:rPr>
                    <w:t>●</w:t>
                  </w:r>
                  <w:r>
                    <w:rPr>
                      <w:rFonts w:hint="eastAsia" w:ascii="宋体" w:hAnsi="宋体" w:eastAsia="宋体" w:cs="宋体"/>
                      <w:color w:val="000000"/>
                      <w:kern w:val="0"/>
                      <w:sz w:val="24"/>
                      <w:szCs w:val="24"/>
                      <w:lang w:bidi="ar"/>
                    </w:rPr>
                    <w:t>5</w:t>
                  </w:r>
                </w:p>
              </w:tc>
              <w:tc>
                <w:tcPr>
                  <w:tcW w:w="3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4"/>
                      <w:szCs w:val="24"/>
                    </w:rPr>
                  </w:pPr>
                  <w:r>
                    <w:rPr>
                      <w:rStyle w:val="52"/>
                      <w:rFonts w:hint="default"/>
                      <w:lang w:bidi="ar"/>
                    </w:rPr>
                    <w:t>误认出站信号</w:t>
                  </w:r>
                </w:p>
              </w:tc>
            </w:tr>
            <w:tr>
              <w:tblPrEx>
                <w:tblCellMar>
                  <w:top w:w="0" w:type="dxa"/>
                  <w:left w:w="108" w:type="dxa"/>
                  <w:bottom w:w="0" w:type="dxa"/>
                  <w:right w:w="108" w:type="dxa"/>
                </w:tblCellMar>
              </w:tblPrEx>
              <w:trPr>
                <w:trHeight w:val="276"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仿宋" w:hAnsi="仿宋" w:eastAsia="仿宋" w:cs="仿宋"/>
                      <w:color w:val="000000"/>
                      <w:kern w:val="0"/>
                      <w:szCs w:val="21"/>
                      <w:lang w:bidi="ar"/>
                    </w:rPr>
                    <w:t>●</w:t>
                  </w:r>
                  <w:r>
                    <w:rPr>
                      <w:rFonts w:hint="eastAsia" w:ascii="宋体" w:hAnsi="宋体" w:eastAsia="宋体" w:cs="宋体"/>
                      <w:color w:val="000000"/>
                      <w:kern w:val="0"/>
                      <w:sz w:val="24"/>
                      <w:szCs w:val="24"/>
                      <w:lang w:bidi="ar"/>
                    </w:rPr>
                    <w:t>6</w:t>
                  </w:r>
                </w:p>
              </w:tc>
              <w:tc>
                <w:tcPr>
                  <w:tcW w:w="3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关闭折角塞门</w:t>
                  </w:r>
                </w:p>
              </w:tc>
            </w:tr>
            <w:tr>
              <w:tblPrEx>
                <w:tblCellMar>
                  <w:top w:w="0" w:type="dxa"/>
                  <w:left w:w="108" w:type="dxa"/>
                  <w:bottom w:w="0" w:type="dxa"/>
                  <w:right w:w="108" w:type="dxa"/>
                </w:tblCellMar>
              </w:tblPrEx>
              <w:trPr>
                <w:trHeight w:val="542"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仿宋" w:hAnsi="仿宋" w:eastAsia="仿宋" w:cs="仿宋"/>
                      <w:color w:val="000000"/>
                      <w:kern w:val="0"/>
                      <w:szCs w:val="21"/>
                      <w:lang w:bidi="ar"/>
                    </w:rPr>
                    <w:t>●</w:t>
                  </w:r>
                  <w:r>
                    <w:rPr>
                      <w:rFonts w:hint="eastAsia" w:ascii="宋体" w:hAnsi="宋体" w:eastAsia="宋体" w:cs="宋体"/>
                      <w:color w:val="000000"/>
                      <w:kern w:val="0"/>
                      <w:sz w:val="24"/>
                      <w:szCs w:val="24"/>
                      <w:lang w:bidi="ar"/>
                    </w:rPr>
                    <w:t>7</w:t>
                  </w:r>
                </w:p>
              </w:tc>
              <w:tc>
                <w:tcPr>
                  <w:tcW w:w="3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机车库内溜逸</w:t>
                  </w:r>
                </w:p>
              </w:tc>
            </w:tr>
            <w:tr>
              <w:tblPrEx>
                <w:tblCellMar>
                  <w:top w:w="0" w:type="dxa"/>
                  <w:left w:w="108" w:type="dxa"/>
                  <w:bottom w:w="0" w:type="dxa"/>
                  <w:right w:w="108" w:type="dxa"/>
                </w:tblCellMar>
              </w:tblPrEx>
              <w:trPr>
                <w:trHeight w:val="542"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仿宋" w:hAnsi="仿宋" w:eastAsia="仿宋" w:cs="仿宋"/>
                      <w:color w:val="000000"/>
                      <w:kern w:val="0"/>
                      <w:szCs w:val="21"/>
                      <w:lang w:bidi="ar"/>
                    </w:rPr>
                    <w:t>●</w:t>
                  </w:r>
                  <w:r>
                    <w:rPr>
                      <w:rFonts w:hint="eastAsia" w:ascii="宋体" w:hAnsi="宋体" w:eastAsia="宋体" w:cs="宋体"/>
                      <w:color w:val="000000"/>
                      <w:kern w:val="0"/>
                      <w:sz w:val="24"/>
                      <w:szCs w:val="24"/>
                      <w:lang w:bidi="ar"/>
                    </w:rPr>
                    <w:t>8</w:t>
                  </w:r>
                </w:p>
              </w:tc>
              <w:tc>
                <w:tcPr>
                  <w:tcW w:w="3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自动闭塞区段列车追尾</w:t>
                  </w:r>
                </w:p>
              </w:tc>
            </w:tr>
            <w:tr>
              <w:tblPrEx>
                <w:tblCellMar>
                  <w:top w:w="0" w:type="dxa"/>
                  <w:left w:w="108" w:type="dxa"/>
                  <w:bottom w:w="0" w:type="dxa"/>
                  <w:right w:w="108" w:type="dxa"/>
                </w:tblCellMar>
              </w:tblPrEx>
              <w:trPr>
                <w:trHeight w:val="542"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仿宋" w:hAnsi="仿宋" w:eastAsia="仿宋" w:cs="仿宋"/>
                      <w:color w:val="000000"/>
                      <w:kern w:val="0"/>
                      <w:szCs w:val="21"/>
                      <w:lang w:bidi="ar"/>
                    </w:rPr>
                    <w:t>●</w:t>
                  </w:r>
                  <w:r>
                    <w:rPr>
                      <w:rFonts w:hint="eastAsia" w:ascii="宋体" w:hAnsi="宋体" w:eastAsia="宋体" w:cs="宋体"/>
                      <w:color w:val="000000"/>
                      <w:kern w:val="0"/>
                      <w:sz w:val="24"/>
                      <w:szCs w:val="24"/>
                      <w:lang w:bidi="ar"/>
                    </w:rPr>
                    <w:t>9</w:t>
                  </w:r>
                </w:p>
              </w:tc>
              <w:tc>
                <w:tcPr>
                  <w:tcW w:w="3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机车弹簧停车装置抱闸运行</w:t>
                  </w:r>
                </w:p>
              </w:tc>
            </w:tr>
            <w:tr>
              <w:tblPrEx>
                <w:tblCellMar>
                  <w:top w:w="0" w:type="dxa"/>
                  <w:left w:w="108" w:type="dxa"/>
                  <w:bottom w:w="0" w:type="dxa"/>
                  <w:right w:w="108" w:type="dxa"/>
                </w:tblCellMar>
              </w:tblPrEx>
              <w:trPr>
                <w:trHeight w:val="276"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仿宋" w:hAnsi="仿宋" w:eastAsia="仿宋" w:cs="仿宋"/>
                      <w:color w:val="000000"/>
                      <w:kern w:val="0"/>
                      <w:szCs w:val="21"/>
                      <w:lang w:bidi="ar"/>
                    </w:rPr>
                    <w:t>●</w:t>
                  </w:r>
                  <w:r>
                    <w:rPr>
                      <w:rFonts w:hint="eastAsia" w:ascii="宋体" w:hAnsi="宋体" w:eastAsia="宋体" w:cs="宋体"/>
                      <w:color w:val="000000"/>
                      <w:kern w:val="0"/>
                      <w:sz w:val="24"/>
                      <w:szCs w:val="24"/>
                      <w:lang w:bidi="ar"/>
                    </w:rPr>
                    <w:t>10</w:t>
                  </w:r>
                </w:p>
              </w:tc>
              <w:tc>
                <w:tcPr>
                  <w:tcW w:w="3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新式人字形复轨器</w:t>
                  </w:r>
                </w:p>
              </w:tc>
            </w:tr>
            <w:tr>
              <w:tblPrEx>
                <w:tblCellMar>
                  <w:top w:w="0" w:type="dxa"/>
                  <w:left w:w="108" w:type="dxa"/>
                  <w:bottom w:w="0" w:type="dxa"/>
                  <w:right w:w="108" w:type="dxa"/>
                </w:tblCellMar>
              </w:tblPrEx>
              <w:trPr>
                <w:trHeight w:val="542"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仿宋" w:hAnsi="仿宋" w:eastAsia="仿宋" w:cs="仿宋"/>
                      <w:color w:val="000000"/>
                      <w:kern w:val="0"/>
                      <w:szCs w:val="21"/>
                      <w:lang w:bidi="ar"/>
                    </w:rPr>
                    <w:t>●</w:t>
                  </w:r>
                  <w:r>
                    <w:rPr>
                      <w:rFonts w:hint="eastAsia" w:ascii="宋体" w:hAnsi="宋体" w:eastAsia="宋体" w:cs="宋体"/>
                      <w:color w:val="000000"/>
                      <w:kern w:val="0"/>
                      <w:sz w:val="24"/>
                      <w:szCs w:val="24"/>
                      <w:lang w:bidi="ar"/>
                    </w:rPr>
                    <w:t>11</w:t>
                  </w:r>
                </w:p>
              </w:tc>
              <w:tc>
                <w:tcPr>
                  <w:tcW w:w="3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LKJ2000 型列车运行监控</w:t>
                  </w:r>
                </w:p>
              </w:tc>
            </w:tr>
            <w:tr>
              <w:tblPrEx>
                <w:tblCellMar>
                  <w:top w:w="0" w:type="dxa"/>
                  <w:left w:w="108" w:type="dxa"/>
                  <w:bottom w:w="0" w:type="dxa"/>
                  <w:right w:w="108" w:type="dxa"/>
                </w:tblCellMar>
              </w:tblPrEx>
              <w:trPr>
                <w:trHeight w:val="542"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仿宋" w:hAnsi="仿宋" w:eastAsia="仿宋" w:cs="仿宋"/>
                      <w:color w:val="000000"/>
                      <w:kern w:val="0"/>
                      <w:szCs w:val="21"/>
                      <w:lang w:bidi="ar"/>
                    </w:rPr>
                    <w:t>●</w:t>
                  </w:r>
                  <w:r>
                    <w:rPr>
                      <w:rFonts w:hint="eastAsia" w:ascii="宋体" w:hAnsi="宋体" w:eastAsia="宋体" w:cs="宋体"/>
                      <w:color w:val="000000"/>
                      <w:kern w:val="0"/>
                      <w:sz w:val="24"/>
                      <w:szCs w:val="24"/>
                      <w:lang w:bidi="ar"/>
                    </w:rPr>
                    <w:t>12</w:t>
                  </w:r>
                </w:p>
              </w:tc>
              <w:tc>
                <w:tcPr>
                  <w:tcW w:w="3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列车防护报警（LBJ）构成与功能</w:t>
                  </w:r>
                </w:p>
              </w:tc>
            </w:tr>
            <w:tr>
              <w:tblPrEx>
                <w:tblCellMar>
                  <w:top w:w="0" w:type="dxa"/>
                  <w:left w:w="108" w:type="dxa"/>
                  <w:bottom w:w="0" w:type="dxa"/>
                  <w:right w:w="108" w:type="dxa"/>
                </w:tblCellMar>
              </w:tblPrEx>
              <w:trPr>
                <w:trHeight w:val="542"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仿宋" w:hAnsi="仿宋" w:eastAsia="仿宋" w:cs="仿宋"/>
                      <w:color w:val="000000"/>
                      <w:kern w:val="0"/>
                      <w:szCs w:val="21"/>
                      <w:lang w:bidi="ar"/>
                    </w:rPr>
                    <w:t>●</w:t>
                  </w:r>
                  <w:r>
                    <w:rPr>
                      <w:rFonts w:hint="eastAsia" w:ascii="宋体" w:hAnsi="宋体" w:eastAsia="宋体" w:cs="宋体"/>
                      <w:color w:val="000000"/>
                      <w:kern w:val="0"/>
                      <w:sz w:val="24"/>
                      <w:szCs w:val="24"/>
                      <w:lang w:bidi="ar"/>
                    </w:rPr>
                    <w:t>13</w:t>
                  </w:r>
                </w:p>
              </w:tc>
              <w:tc>
                <w:tcPr>
                  <w:tcW w:w="3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列尾装置 KLW 的结构与组成</w:t>
                  </w:r>
                </w:p>
              </w:tc>
            </w:tr>
            <w:tr>
              <w:tblPrEx>
                <w:tblCellMar>
                  <w:top w:w="0" w:type="dxa"/>
                  <w:left w:w="108" w:type="dxa"/>
                  <w:bottom w:w="0" w:type="dxa"/>
                  <w:right w:w="108" w:type="dxa"/>
                </w:tblCellMar>
              </w:tblPrEx>
              <w:trPr>
                <w:trHeight w:val="542"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仿宋"/>
                      <w:b/>
                      <w:bCs/>
                      <w:sz w:val="24"/>
                      <w:szCs w:val="24"/>
                    </w:rPr>
                    <w:t>☆</w:t>
                  </w:r>
                  <w:r>
                    <w:rPr>
                      <w:rFonts w:hint="eastAsia" w:ascii="宋体" w:hAnsi="宋体" w:eastAsia="宋体" w:cs="宋体"/>
                      <w:color w:val="000000"/>
                      <w:kern w:val="0"/>
                      <w:sz w:val="24"/>
                      <w:szCs w:val="24"/>
                      <w:lang w:bidi="ar"/>
                    </w:rPr>
                    <w:t>14</w:t>
                  </w:r>
                </w:p>
              </w:tc>
              <w:tc>
                <w:tcPr>
                  <w:tcW w:w="3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CIR设备的功能和组成</w:t>
                  </w:r>
                </w:p>
              </w:tc>
            </w:tr>
            <w:tr>
              <w:tblPrEx>
                <w:tblCellMar>
                  <w:top w:w="0" w:type="dxa"/>
                  <w:left w:w="108" w:type="dxa"/>
                  <w:bottom w:w="0" w:type="dxa"/>
                  <w:right w:w="108" w:type="dxa"/>
                </w:tblCellMar>
              </w:tblPrEx>
              <w:trPr>
                <w:trHeight w:val="542"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仿宋" w:hAnsi="仿宋" w:eastAsia="仿宋" w:cs="仿宋"/>
                      <w:color w:val="000000"/>
                      <w:kern w:val="0"/>
                      <w:szCs w:val="21"/>
                      <w:lang w:bidi="ar"/>
                    </w:rPr>
                    <w:t>●</w:t>
                  </w:r>
                  <w:r>
                    <w:rPr>
                      <w:rFonts w:hint="eastAsia" w:ascii="宋体" w:hAnsi="宋体" w:eastAsia="宋体" w:cs="宋体"/>
                      <w:color w:val="000000"/>
                      <w:kern w:val="0"/>
                      <w:sz w:val="24"/>
                      <w:szCs w:val="24"/>
                      <w:lang w:bidi="ar"/>
                    </w:rPr>
                    <w:t>15</w:t>
                  </w:r>
                </w:p>
              </w:tc>
              <w:tc>
                <w:tcPr>
                  <w:tcW w:w="3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4"/>
                      <w:szCs w:val="24"/>
                    </w:rPr>
                  </w:pPr>
                  <w:r>
                    <w:rPr>
                      <w:rStyle w:val="52"/>
                      <w:rFonts w:hint="default"/>
                      <w:lang w:bidi="ar"/>
                    </w:rPr>
                    <w:t>TGA9型牵引逆变器的结构</w:t>
                  </w:r>
                </w:p>
              </w:tc>
            </w:tr>
            <w:tr>
              <w:tblPrEx>
                <w:tblCellMar>
                  <w:top w:w="0" w:type="dxa"/>
                  <w:left w:w="108" w:type="dxa"/>
                  <w:bottom w:w="0" w:type="dxa"/>
                  <w:right w:w="108" w:type="dxa"/>
                </w:tblCellMar>
              </w:tblPrEx>
              <w:trPr>
                <w:trHeight w:val="542"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仿宋"/>
                      <w:b/>
                      <w:bCs/>
                      <w:sz w:val="24"/>
                      <w:szCs w:val="24"/>
                    </w:rPr>
                    <w:t>☆</w:t>
                  </w:r>
                  <w:r>
                    <w:rPr>
                      <w:rFonts w:hint="eastAsia" w:ascii="宋体" w:hAnsi="宋体" w:eastAsia="宋体" w:cs="宋体"/>
                      <w:color w:val="000000"/>
                      <w:kern w:val="0"/>
                      <w:sz w:val="24"/>
                      <w:szCs w:val="24"/>
                      <w:lang w:bidi="ar"/>
                    </w:rPr>
                    <w:t>16</w:t>
                  </w:r>
                </w:p>
              </w:tc>
              <w:tc>
                <w:tcPr>
                  <w:tcW w:w="3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TGF54型辅助变流器</w:t>
                  </w:r>
                </w:p>
              </w:tc>
            </w:tr>
            <w:tr>
              <w:tblPrEx>
                <w:tblCellMar>
                  <w:top w:w="0" w:type="dxa"/>
                  <w:left w:w="108" w:type="dxa"/>
                  <w:bottom w:w="0" w:type="dxa"/>
                  <w:right w:w="108" w:type="dxa"/>
                </w:tblCellMar>
              </w:tblPrEx>
              <w:trPr>
                <w:trHeight w:val="542"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仿宋" w:hAnsi="仿宋" w:eastAsia="仿宋" w:cs="仿宋"/>
                      <w:color w:val="000000"/>
                      <w:kern w:val="0"/>
                      <w:szCs w:val="21"/>
                      <w:lang w:bidi="ar"/>
                    </w:rPr>
                    <w:t>●</w:t>
                  </w:r>
                  <w:r>
                    <w:rPr>
                      <w:rFonts w:hint="eastAsia" w:ascii="宋体" w:hAnsi="宋体" w:eastAsia="宋体" w:cs="宋体"/>
                      <w:color w:val="000000"/>
                      <w:kern w:val="0"/>
                      <w:sz w:val="24"/>
                      <w:szCs w:val="24"/>
                      <w:lang w:bidi="ar"/>
                    </w:rPr>
                    <w:t>17</w:t>
                  </w:r>
                </w:p>
              </w:tc>
              <w:tc>
                <w:tcPr>
                  <w:tcW w:w="3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牵引电机的结构和工作原理</w:t>
                  </w:r>
                </w:p>
              </w:tc>
            </w:tr>
            <w:tr>
              <w:tblPrEx>
                <w:tblCellMar>
                  <w:top w:w="0" w:type="dxa"/>
                  <w:left w:w="108" w:type="dxa"/>
                  <w:bottom w:w="0" w:type="dxa"/>
                  <w:right w:w="108" w:type="dxa"/>
                </w:tblCellMar>
              </w:tblPrEx>
              <w:trPr>
                <w:trHeight w:val="542"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仿宋"/>
                      <w:b/>
                      <w:bCs/>
                      <w:sz w:val="24"/>
                      <w:szCs w:val="24"/>
                    </w:rPr>
                    <w:t>☆</w:t>
                  </w:r>
                  <w:r>
                    <w:rPr>
                      <w:rFonts w:hint="eastAsia" w:ascii="宋体" w:hAnsi="宋体" w:eastAsia="宋体" w:cs="宋体"/>
                      <w:color w:val="000000"/>
                      <w:kern w:val="0"/>
                      <w:sz w:val="24"/>
                      <w:szCs w:val="24"/>
                      <w:lang w:bidi="ar"/>
                    </w:rPr>
                    <w:t>18</w:t>
                  </w:r>
                </w:p>
              </w:tc>
              <w:tc>
                <w:tcPr>
                  <w:tcW w:w="3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真空断路器的结构和原理</w:t>
                  </w:r>
                </w:p>
              </w:tc>
            </w:tr>
            <w:tr>
              <w:tblPrEx>
                <w:tblCellMar>
                  <w:top w:w="0" w:type="dxa"/>
                  <w:left w:w="108" w:type="dxa"/>
                  <w:bottom w:w="0" w:type="dxa"/>
                  <w:right w:w="108" w:type="dxa"/>
                </w:tblCellMar>
              </w:tblPrEx>
              <w:trPr>
                <w:trHeight w:val="276"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仿宋" w:hAnsi="仿宋" w:eastAsia="仿宋" w:cs="仿宋"/>
                      <w:color w:val="000000"/>
                      <w:kern w:val="0"/>
                      <w:szCs w:val="21"/>
                      <w:lang w:bidi="ar"/>
                    </w:rPr>
                    <w:t>●</w:t>
                  </w:r>
                  <w:r>
                    <w:rPr>
                      <w:rFonts w:hint="eastAsia" w:ascii="宋体" w:hAnsi="宋体" w:eastAsia="宋体" w:cs="宋体"/>
                      <w:color w:val="000000"/>
                      <w:kern w:val="0"/>
                      <w:sz w:val="24"/>
                      <w:szCs w:val="24"/>
                      <w:lang w:bidi="ar"/>
                    </w:rPr>
                    <w:t>19</w:t>
                  </w:r>
                </w:p>
              </w:tc>
              <w:tc>
                <w:tcPr>
                  <w:tcW w:w="3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无损探伤检测方法</w:t>
                  </w:r>
                </w:p>
              </w:tc>
            </w:tr>
            <w:tr>
              <w:tblPrEx>
                <w:tblCellMar>
                  <w:top w:w="0" w:type="dxa"/>
                  <w:left w:w="108" w:type="dxa"/>
                  <w:bottom w:w="0" w:type="dxa"/>
                  <w:right w:w="108" w:type="dxa"/>
                </w:tblCellMar>
              </w:tblPrEx>
              <w:trPr>
                <w:trHeight w:val="276"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仿宋" w:hAnsi="仿宋" w:eastAsia="仿宋" w:cs="仿宋"/>
                      <w:color w:val="000000"/>
                      <w:kern w:val="0"/>
                      <w:szCs w:val="21"/>
                      <w:lang w:bidi="ar"/>
                    </w:rPr>
                    <w:t>●</w:t>
                  </w:r>
                  <w:r>
                    <w:rPr>
                      <w:rFonts w:hint="eastAsia" w:ascii="宋体" w:hAnsi="宋体" w:eastAsia="宋体" w:cs="宋体"/>
                      <w:color w:val="000000"/>
                      <w:kern w:val="0"/>
                      <w:sz w:val="24"/>
                      <w:szCs w:val="24"/>
                      <w:lang w:bidi="ar"/>
                    </w:rPr>
                    <w:t>20</w:t>
                  </w:r>
                </w:p>
              </w:tc>
              <w:tc>
                <w:tcPr>
                  <w:tcW w:w="3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机车轮对探伤检测</w:t>
                  </w:r>
                </w:p>
              </w:tc>
            </w:tr>
            <w:tr>
              <w:tblPrEx>
                <w:tblCellMar>
                  <w:top w:w="0" w:type="dxa"/>
                  <w:left w:w="108" w:type="dxa"/>
                  <w:bottom w:w="0" w:type="dxa"/>
                  <w:right w:w="108" w:type="dxa"/>
                </w:tblCellMar>
              </w:tblPrEx>
              <w:trPr>
                <w:trHeight w:val="542"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仿宋"/>
                      <w:b/>
                      <w:bCs/>
                      <w:sz w:val="24"/>
                      <w:szCs w:val="24"/>
                    </w:rPr>
                    <w:t>☆</w:t>
                  </w:r>
                  <w:r>
                    <w:rPr>
                      <w:rFonts w:hint="eastAsia" w:ascii="宋体" w:hAnsi="宋体" w:eastAsia="宋体" w:cs="宋体"/>
                      <w:color w:val="000000"/>
                      <w:kern w:val="0"/>
                      <w:sz w:val="24"/>
                      <w:szCs w:val="24"/>
                      <w:lang w:bidi="ar"/>
                    </w:rPr>
                    <w:t>21</w:t>
                  </w:r>
                </w:p>
              </w:tc>
              <w:tc>
                <w:tcPr>
                  <w:tcW w:w="3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电力机车检车作业工步</w:t>
                  </w:r>
                </w:p>
              </w:tc>
            </w:tr>
            <w:tr>
              <w:tblPrEx>
                <w:tblCellMar>
                  <w:top w:w="0" w:type="dxa"/>
                  <w:left w:w="108" w:type="dxa"/>
                  <w:bottom w:w="0" w:type="dxa"/>
                  <w:right w:w="108" w:type="dxa"/>
                </w:tblCellMar>
              </w:tblPrEx>
              <w:trPr>
                <w:trHeight w:val="276"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仿宋"/>
                      <w:b/>
                      <w:bCs/>
                      <w:sz w:val="24"/>
                      <w:szCs w:val="24"/>
                    </w:rPr>
                    <w:t>☆</w:t>
                  </w:r>
                  <w:r>
                    <w:rPr>
                      <w:rFonts w:hint="eastAsia" w:ascii="宋体" w:hAnsi="宋体" w:eastAsia="宋体" w:cs="宋体"/>
                      <w:color w:val="000000"/>
                      <w:kern w:val="0"/>
                      <w:sz w:val="24"/>
                      <w:szCs w:val="24"/>
                      <w:lang w:bidi="ar"/>
                    </w:rPr>
                    <w:t>22</w:t>
                  </w:r>
                </w:p>
              </w:tc>
              <w:tc>
                <w:tcPr>
                  <w:tcW w:w="3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HXD1C 转向架检查</w:t>
                  </w:r>
                </w:p>
              </w:tc>
            </w:tr>
            <w:tr>
              <w:tblPrEx>
                <w:tblCellMar>
                  <w:top w:w="0" w:type="dxa"/>
                  <w:left w:w="108" w:type="dxa"/>
                  <w:bottom w:w="0" w:type="dxa"/>
                  <w:right w:w="108" w:type="dxa"/>
                </w:tblCellMar>
              </w:tblPrEx>
              <w:trPr>
                <w:trHeight w:val="276"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仿宋"/>
                      <w:b/>
                      <w:bCs/>
                      <w:sz w:val="24"/>
                      <w:szCs w:val="24"/>
                    </w:rPr>
                    <w:t>☆</w:t>
                  </w:r>
                  <w:r>
                    <w:rPr>
                      <w:rFonts w:hint="eastAsia" w:ascii="宋体" w:hAnsi="宋体" w:eastAsia="宋体" w:cs="宋体"/>
                      <w:color w:val="000000"/>
                      <w:kern w:val="0"/>
                      <w:sz w:val="24"/>
                      <w:szCs w:val="24"/>
                      <w:lang w:bidi="ar"/>
                    </w:rPr>
                    <w:t>23</w:t>
                  </w:r>
                </w:p>
              </w:tc>
              <w:tc>
                <w:tcPr>
                  <w:tcW w:w="3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HXD1C动态试验</w:t>
                  </w:r>
                </w:p>
              </w:tc>
            </w:tr>
            <w:tr>
              <w:tblPrEx>
                <w:tblCellMar>
                  <w:top w:w="0" w:type="dxa"/>
                  <w:left w:w="108" w:type="dxa"/>
                  <w:bottom w:w="0" w:type="dxa"/>
                  <w:right w:w="108" w:type="dxa"/>
                </w:tblCellMar>
              </w:tblPrEx>
              <w:trPr>
                <w:trHeight w:val="551"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仿宋" w:hAnsi="仿宋" w:eastAsia="仿宋" w:cs="仿宋"/>
                      <w:color w:val="000000"/>
                      <w:kern w:val="0"/>
                      <w:szCs w:val="21"/>
                      <w:lang w:bidi="ar"/>
                    </w:rPr>
                    <w:t>●</w:t>
                  </w:r>
                  <w:r>
                    <w:rPr>
                      <w:rFonts w:hint="eastAsia" w:ascii="宋体" w:hAnsi="宋体" w:eastAsia="宋体" w:cs="宋体"/>
                      <w:color w:val="000000"/>
                      <w:kern w:val="0"/>
                      <w:sz w:val="24"/>
                      <w:szCs w:val="24"/>
                      <w:lang w:bidi="ar"/>
                    </w:rPr>
                    <w:t>24</w:t>
                  </w:r>
                </w:p>
              </w:tc>
              <w:tc>
                <w:tcPr>
                  <w:tcW w:w="3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HXD1C机车车上电器静态检查</w:t>
                  </w:r>
                </w:p>
              </w:tc>
            </w:tr>
          </w:tbl>
          <w:p>
            <w:pPr>
              <w:spacing w:line="360" w:lineRule="auto"/>
              <w:rPr>
                <w:rFonts w:ascii="仿宋" w:hAnsi="仿宋" w:eastAsia="宋体" w:cs="仿宋"/>
                <w:color w:val="000000"/>
                <w:kern w:val="0"/>
                <w:szCs w:val="21"/>
                <w:lang w:bidi="ar"/>
              </w:rPr>
            </w:pPr>
            <w:r>
              <w:rPr>
                <w:rFonts w:hint="eastAsia" w:ascii="宋体" w:hAnsi="宋体" w:eastAsia="宋体" w:cs="仿宋"/>
                <w:b/>
                <w:bCs/>
                <w:sz w:val="24"/>
                <w:szCs w:val="24"/>
              </w:rPr>
              <w:t>带☆的资源需要进行现场演示，投标方需要自行携带电脑，以动画、视频等方式进行现场功能演示，每个资源演示时长不少于1分钟。</w:t>
            </w:r>
          </w:p>
          <w:p>
            <w:pPr>
              <w:spacing w:line="360" w:lineRule="auto"/>
              <w:rPr>
                <w:rFonts w:ascii="宋体" w:hAnsi="宋体" w:eastAsia="宋体" w:cs="Times New Roman"/>
                <w:sz w:val="24"/>
                <w:szCs w:val="24"/>
              </w:rPr>
            </w:pPr>
            <w:r>
              <w:rPr>
                <w:rFonts w:hint="eastAsia" w:ascii="宋体" w:hAnsi="宋体" w:eastAsia="宋体" w:cs="Times New Roman"/>
                <w:b/>
                <w:bCs/>
                <w:sz w:val="24"/>
                <w:szCs w:val="24"/>
              </w:rPr>
              <w:t>三、资源要求</w:t>
            </w:r>
          </w:p>
          <w:p>
            <w:pPr>
              <w:spacing w:line="360" w:lineRule="auto"/>
              <w:ind w:firstLine="420" w:firstLineChars="200"/>
              <w:rPr>
                <w:rFonts w:ascii="宋体" w:hAnsi="宋体" w:eastAsia="宋体" w:cs="Times New Roman"/>
                <w:sz w:val="24"/>
                <w:szCs w:val="24"/>
              </w:rPr>
            </w:pPr>
            <w:r>
              <w:rPr>
                <w:rFonts w:hint="eastAsia" w:ascii="仿宋" w:hAnsi="仿宋" w:eastAsia="仿宋" w:cs="仿宋"/>
                <w:color w:val="000000"/>
                <w:kern w:val="0"/>
                <w:szCs w:val="21"/>
                <w:lang w:bidi="ar"/>
              </w:rPr>
              <w:t>▲</w:t>
            </w:r>
            <w:r>
              <w:rPr>
                <w:rFonts w:hint="eastAsia" w:ascii="宋体" w:hAnsi="宋体" w:eastAsia="宋体" w:cs="Times New Roman"/>
                <w:sz w:val="24"/>
                <w:szCs w:val="24"/>
              </w:rPr>
              <w:t>1.二维动画(MG动画)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创意和故事性：MG动画需要有独特的创意和故事性，以吸引受众的注意力。创意和故事性需要与课程教案内容相符合，以达到学习和科普的效果。</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视觉效果：MG动画需要有高质量的视觉效果，包括画面的清晰度、色彩的鲜艳度、动画的流畅度等，视觉效果需要与课程教案内容相符合，和实际现场内容相一致，起到模拟现场的效果。</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音效和配乐：MG动画需要有高质量的音效和配乐，以增强观众的观感和感受。</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转场特效：每个镜头有较为丝滑的转场过度，让受众能明确每个知识点的重点。</w:t>
            </w:r>
          </w:p>
          <w:p>
            <w:pPr>
              <w:spacing w:line="360" w:lineRule="auto"/>
              <w:ind w:firstLine="420" w:firstLineChars="200"/>
              <w:rPr>
                <w:rFonts w:ascii="宋体" w:hAnsi="宋体" w:eastAsia="宋体" w:cs="Times New Roman"/>
                <w:sz w:val="24"/>
                <w:szCs w:val="24"/>
              </w:rPr>
            </w:pPr>
            <w:r>
              <w:rPr>
                <w:rFonts w:hint="eastAsia" w:ascii="仿宋" w:hAnsi="仿宋" w:eastAsia="仿宋" w:cs="仿宋"/>
                <w:color w:val="000000"/>
                <w:kern w:val="0"/>
                <w:szCs w:val="21"/>
                <w:lang w:bidi="ar"/>
              </w:rPr>
              <w:t>▲</w:t>
            </w:r>
            <w:r>
              <w:rPr>
                <w:rFonts w:hint="eastAsia" w:ascii="宋体" w:hAnsi="宋体" w:eastAsia="宋体" w:cs="Times New Roman"/>
                <w:sz w:val="24"/>
                <w:szCs w:val="24"/>
              </w:rPr>
              <w:t>2.三维动画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画面质量：画面质量是三维动画制作中最基本的要求，画面质量评估主要包括颜色、光影、材质、模型等方面的表现。颜色要求饱满且不失真实感，光影要求逼真自然，材质和模型的精细度能达到真实还原设备和现场的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动画流畅度：动画流畅度是指三维动画的自然流畅感，制作团队需要通过精心的动画制作流程、肢体动态、表情等多方面设计，以达到动画效果自然连贯，不卡顿的目的。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艺术感和创意性：三维动画需要有较高的艺术感和创意性，能够根据课程教案的要求，设计出符合教学目的的三维动画效果。制作团队需要具备一定的艺术素养和创意能力，能够创造出独特的视觉效果和实感体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技术实现：制作团队能熟练掌握和使用各种三维建模软件、动画制作软件、灯光和渲染软件等相关工具，能够实现各种复杂的动画效果和视觉效果。</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音效和配乐：音效和配乐是三维动画中重要的组成部分，可以增强受众的观感和感受。</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转场和剪辑：转场和剪辑是后期制作的部分，一个好的转场和剪辑能够让三维动画更加流畅自然。</w:t>
            </w:r>
          </w:p>
          <w:p>
            <w:pPr>
              <w:spacing w:line="360" w:lineRule="auto"/>
              <w:ind w:firstLine="420" w:firstLineChars="200"/>
              <w:rPr>
                <w:rFonts w:ascii="宋体" w:hAnsi="宋体" w:eastAsia="宋体" w:cs="Times New Roman"/>
                <w:sz w:val="24"/>
                <w:szCs w:val="24"/>
              </w:rPr>
            </w:pPr>
            <w:r>
              <w:rPr>
                <w:rFonts w:hint="eastAsia" w:ascii="仿宋" w:hAnsi="仿宋" w:eastAsia="仿宋" w:cs="仿宋"/>
                <w:color w:val="000000"/>
                <w:kern w:val="0"/>
                <w:szCs w:val="21"/>
                <w:lang w:bidi="ar"/>
              </w:rPr>
              <w:t>▲</w:t>
            </w:r>
            <w:r>
              <w:rPr>
                <w:rFonts w:hint="eastAsia" w:ascii="宋体" w:hAnsi="宋体" w:eastAsia="宋体" w:cs="Times New Roman"/>
                <w:sz w:val="24"/>
                <w:szCs w:val="24"/>
              </w:rPr>
              <w:t>3.实训视频</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内容质量：实操视频的内容需要符合专业标准，具有实用性和针对性。在制作过程中，需要仔细研读课程内容，设计实验步骤和演示方法，确保视频内容准确、完整、连贯、易于理解。</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拍摄质量：实操视频需要使用高质量的摄影器材进行拍摄，以保证视频画面清晰、稳定、色彩还原度高。在拍摄过程中，需要注意光线、景别、角度等因素，以及合理运用镜头语言和拍摄技巧。</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声音质量：实操视频需要保证声音清晰、音量适中、无杂音。在录制过程中，需要使用合适的录音设备，确保语音和操作声音的清晰度和准确性。</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制作质量：实操视频需要经过剪辑、特效处理等后期制作环节，以增强视频的表现力和观感。在制作过程中，需要注重转场效果、音效处理、字幕添加等细节处理，使视频整体流畅、节奏感强。</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交互质量：实操视频需要提供互动性，以便观众能够更好地参与和理解。在视频中，可以添加注释、说明、演示等交互元素，以及提供相关资源和链接，方便观众深入了解和学习。</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用户体验：实操视频需要注重用户体验，确保视频加载速度快、播放顺畅、可复制和分享。在制作过程中，需要考虑受众的需求和习惯，提供易于操作和使用的界面和交互设计。</w:t>
            </w:r>
          </w:p>
          <w:p>
            <w:pPr>
              <w:spacing w:line="360" w:lineRule="auto"/>
              <w:ind w:firstLine="480" w:firstLineChars="200"/>
              <w:rPr>
                <w:rFonts w:ascii="宋体" w:hAnsi="宋体" w:eastAsia="宋体" w:cs="宋体"/>
                <w:sz w:val="24"/>
                <w:szCs w:val="24"/>
              </w:rPr>
            </w:pPr>
            <w:r>
              <w:rPr>
                <w:rFonts w:hint="eastAsia" w:ascii="宋体" w:hAnsi="宋体" w:eastAsia="宋体" w:cs="Times New Roman"/>
                <w:sz w:val="24"/>
                <w:szCs w:val="24"/>
              </w:rPr>
              <w:t>安全性与合规性：实操视频需要符合相关法律法规和行业标准，不涉及违法、不良信息等内容。在制作过程中，需要注意知识产权保护和信息安全等问题，避免侵权行为和安全漏洞。</w:t>
            </w:r>
          </w:p>
        </w:tc>
        <w:tc>
          <w:tcPr>
            <w:tcW w:w="79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ascii="宋体" w:hAnsi="宋体" w:eastAsia="宋体" w:cs="宋体"/>
                <w:kern w:val="0"/>
                <w:sz w:val="24"/>
                <w:szCs w:val="24"/>
              </w:rPr>
            </w:pPr>
          </w:p>
        </w:tc>
      </w:tr>
    </w:tbl>
    <w:p>
      <w:pPr>
        <w:snapToGrid w:val="0"/>
        <w:spacing w:line="560" w:lineRule="exact"/>
        <w:textAlignment w:val="baseline"/>
        <w:outlineLvl w:val="1"/>
        <w:rPr>
          <w:rFonts w:ascii="宋体" w:hAnsi="宋体" w:eastAsia="宋体" w:cs="仿宋"/>
          <w:b/>
          <w:bCs/>
          <w:sz w:val="28"/>
          <w:szCs w:val="24"/>
          <w:lang w:val="zh-CN"/>
        </w:rPr>
      </w:pPr>
    </w:p>
    <w:p>
      <w:pPr>
        <w:numPr>
          <w:ilvl w:val="0"/>
          <w:numId w:val="2"/>
        </w:numPr>
        <w:autoSpaceDE w:val="0"/>
        <w:autoSpaceDN w:val="0"/>
        <w:spacing w:line="520" w:lineRule="exact"/>
        <w:ind w:firstLine="562" w:firstLineChars="200"/>
        <w:outlineLvl w:val="1"/>
        <w:rPr>
          <w:rFonts w:ascii="宋体" w:hAnsi="宋体" w:eastAsia="宋体" w:cs="Times New Roman"/>
          <w:b/>
          <w:bCs/>
          <w:sz w:val="28"/>
          <w:szCs w:val="24"/>
          <w:lang w:val="zh-CN"/>
        </w:rPr>
      </w:pPr>
      <w:r>
        <w:rPr>
          <w:rFonts w:hint="eastAsia" w:ascii="宋体" w:hAnsi="宋体" w:eastAsia="宋体" w:cs="Times New Roman"/>
          <w:b/>
          <w:bCs/>
          <w:sz w:val="28"/>
          <w:szCs w:val="24"/>
          <w:lang w:val="zh-CN"/>
        </w:rPr>
        <w:t>商务要求（</w:t>
      </w:r>
      <w:r>
        <w:rPr>
          <w:rFonts w:hint="eastAsia" w:ascii="宋体" w:hAnsi="宋体" w:eastAsia="宋体" w:cs="Times New Roman"/>
          <w:b/>
          <w:bCs/>
          <w:sz w:val="28"/>
          <w:szCs w:val="24"/>
        </w:rPr>
        <w:t>实质性要求</w:t>
      </w:r>
      <w:r>
        <w:rPr>
          <w:rFonts w:hint="eastAsia" w:ascii="宋体" w:hAnsi="宋体" w:eastAsia="宋体" w:cs="Times New Roman"/>
          <w:b/>
          <w:bCs/>
          <w:sz w:val="28"/>
          <w:szCs w:val="24"/>
          <w:lang w:val="zh-CN"/>
        </w:rPr>
        <w:t>）</w:t>
      </w:r>
    </w:p>
    <w:p>
      <w:pPr>
        <w:spacing w:line="360" w:lineRule="auto"/>
        <w:ind w:firstLine="480" w:firstLineChars="200"/>
        <w:rPr>
          <w:rFonts w:ascii="宋体" w:hAnsi="宋体" w:eastAsia="宋体" w:cs="Times New Roman"/>
          <w:sz w:val="24"/>
          <w:szCs w:val="24"/>
        </w:rPr>
      </w:pP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zh-CN"/>
        </w:rPr>
        <w:t>项目地址：</w:t>
      </w:r>
      <w:r>
        <w:rPr>
          <w:rFonts w:hint="eastAsia" w:ascii="宋体" w:hAnsi="宋体" w:eastAsia="宋体" w:cs="Times New Roman"/>
          <w:sz w:val="24"/>
          <w:szCs w:val="24"/>
        </w:rPr>
        <w:t>四川省成都市郫都区安德街道彭温路399号</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2、交付时间：合同签订之日起7天内。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3、付款方式：验收合格后一次性付款100%</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4、安装调试及验收：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履约验收时间：供应商提出验收申请之日起7日内组织验收。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验收组织方式：自行组织验收，按照学校《货物与服务验收管理办法》进行验收。</w:t>
      </w:r>
    </w:p>
    <w:p>
      <w:pPr>
        <w:spacing w:line="360" w:lineRule="auto"/>
        <w:ind w:firstLine="480" w:firstLineChars="200"/>
        <w:rPr>
          <w:szCs w:val="21"/>
        </w:rPr>
      </w:pPr>
      <w:r>
        <w:rPr>
          <w:rFonts w:hint="eastAsia" w:ascii="宋体" w:hAnsi="宋体" w:eastAsia="宋体" w:cs="Times New Roman"/>
          <w:sz w:val="24"/>
          <w:szCs w:val="24"/>
        </w:rPr>
        <w:t>5、履约方式：成交供应商与采购人签订合同后，合同双方应严格执行合同条款，履行合同规定的义务，保证合同的顺利完成。在合同履行过程中，如发生合同纠纷，合同双方应按照《中华人民共和国民法典》的有关规定进行处理，合同签订方式。</w:t>
      </w:r>
    </w:p>
    <w:p>
      <w:pPr>
        <w:ind w:firstLine="480"/>
      </w:pPr>
    </w:p>
    <w:p>
      <w:pPr>
        <w:spacing w:line="360" w:lineRule="auto"/>
        <w:ind w:firstLine="480" w:firstLineChars="200"/>
        <w:rPr>
          <w:rFonts w:ascii="宋体" w:hAnsi="宋体" w:eastAsia="宋体" w:cs="Times New Roman"/>
          <w:sz w:val="24"/>
          <w:szCs w:val="24"/>
          <w:lang w:val="zh-CN"/>
        </w:rPr>
      </w:pP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br w:type="page"/>
      </w:r>
    </w:p>
    <w:p>
      <w:pPr>
        <w:pStyle w:val="3"/>
        <w:spacing w:line="400" w:lineRule="exact"/>
        <w:jc w:val="center"/>
        <w:rPr>
          <w:rFonts w:ascii="宋体" w:hAnsi="宋体" w:eastAsia="宋体"/>
          <w:color w:val="000000"/>
          <w:sz w:val="36"/>
          <w:szCs w:val="36"/>
        </w:rPr>
      </w:pPr>
      <w:r>
        <w:rPr>
          <w:rFonts w:hint="eastAsia" w:ascii="宋体" w:hAnsi="宋体" w:eastAsia="宋体"/>
          <w:color w:val="000000"/>
          <w:sz w:val="36"/>
          <w:szCs w:val="36"/>
        </w:rPr>
        <w:t>第五章 比选评审办法</w:t>
      </w:r>
      <w:bookmarkEnd w:id="26"/>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一、总则</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1.比选人将根据比选项目特点组建评审委员会，采取综合评分法。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2.比选评审工作应遵循公平、公正、科学及择优的原则，并以相同的比选评审程序和标准对待所有的申请人。</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3.评审委员会按照比选文件规定的评审方法和标准进行评审，并独立履行下列职责：</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(1)审查比选申请文件是否符合比选文件要求，并作出评价；</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(2)要求参加申请人对比选申请文件有关事项作出解释或者澄清；</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(3)推荐中选候选人名单</w:t>
      </w:r>
      <w:bookmarkStart w:id="27" w:name="_Toc217446098"/>
      <w:r>
        <w:rPr>
          <w:rFonts w:hint="eastAsia" w:ascii="宋体" w:hAnsi="宋体" w:eastAsia="宋体"/>
          <w:sz w:val="24"/>
          <w:szCs w:val="24"/>
        </w:rPr>
        <w:t>。</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二、比选评审</w:t>
      </w:r>
      <w:bookmarkEnd w:id="27"/>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1.资格性检查。</w:t>
      </w:r>
      <w:r>
        <w:rPr>
          <w:rFonts w:hint="eastAsia" w:ascii="宋体" w:hAnsi="宋体" w:eastAsia="宋体"/>
          <w:sz w:val="24"/>
          <w:szCs w:val="24"/>
        </w:rPr>
        <w:t>根据比选文件的规定，对比选申请文件中的资格证明等进行审查，以确定申请人是否具备比选资格。</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2.符合性检查。</w:t>
      </w:r>
      <w:r>
        <w:rPr>
          <w:rFonts w:hint="eastAsia" w:ascii="宋体" w:hAnsi="宋体" w:eastAsia="宋体"/>
          <w:sz w:val="24"/>
          <w:szCs w:val="24"/>
        </w:rPr>
        <w:t>根据比选文件的规定，从比选申请文件的所有实质性要求进行审查，以确定是否对比选文件的实质性要求作出响应。</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3.澄清有关问题</w:t>
      </w:r>
      <w:r>
        <w:rPr>
          <w:rFonts w:hint="eastAsia" w:ascii="宋体" w:hAnsi="宋体" w:eastAsia="宋体"/>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pPr>
        <w:spacing w:line="360" w:lineRule="auto"/>
        <w:ind w:firstLine="472" w:firstLineChars="196"/>
        <w:rPr>
          <w:rFonts w:ascii="宋体" w:hAnsi="宋体" w:eastAsia="宋体"/>
        </w:rPr>
      </w:pPr>
      <w:r>
        <w:rPr>
          <w:rFonts w:hint="eastAsia" w:ascii="宋体" w:hAnsi="宋体" w:eastAsia="宋体"/>
          <w:b/>
          <w:bCs/>
          <w:sz w:val="24"/>
          <w:szCs w:val="24"/>
        </w:rPr>
        <w:t>4.比较与评价</w:t>
      </w:r>
      <w:r>
        <w:rPr>
          <w:rFonts w:hint="eastAsia" w:ascii="宋体" w:hAnsi="宋体" w:eastAsia="宋体"/>
          <w:sz w:val="24"/>
          <w:szCs w:val="24"/>
        </w:rPr>
        <w:t>。按比选文件中规定的比选评审方法和标准，对资格性检查和符合性检查合格的比选申请文件按照以下综合评分表进行综合比较与评价。</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5.推荐中选候选人名单。</w:t>
      </w:r>
      <w:r>
        <w:rPr>
          <w:rFonts w:hint="eastAsia" w:ascii="宋体" w:hAnsi="宋体" w:eastAsia="宋体"/>
          <w:sz w:val="24"/>
          <w:szCs w:val="24"/>
        </w:rPr>
        <w:t>中选候选人数量应当根据采购需要确定，但必须按顺序排列中选候选人。</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6.编写比选评审报告。</w:t>
      </w:r>
      <w:r>
        <w:rPr>
          <w:rFonts w:hint="eastAsia" w:ascii="宋体" w:hAnsi="宋体" w:eastAsia="宋体"/>
          <w:sz w:val="24"/>
          <w:szCs w:val="24"/>
        </w:rPr>
        <w:t>比选评审报告是比选评审委员会根据全体比选评审成员签字的原始比选评审记录和比选评审结果编写的报告。</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7.中选。</w:t>
      </w:r>
      <w:r>
        <w:rPr>
          <w:rFonts w:hint="eastAsia" w:ascii="宋体" w:hAnsi="宋体" w:eastAsia="宋体"/>
          <w:sz w:val="24"/>
          <w:szCs w:val="24"/>
        </w:rPr>
        <w:t>比选人根据中选候选人名单，原则上选择综合得分最高的申请人为中选人，若遇到特殊情况比选人可自主根据中选候选人名单确定中选人。</w:t>
      </w:r>
    </w:p>
    <w:p>
      <w:pPr>
        <w:spacing w:line="360" w:lineRule="auto"/>
        <w:ind w:firstLine="705" w:firstLineChars="196"/>
        <w:rPr>
          <w:rFonts w:ascii="宋体" w:hAnsi="宋体" w:eastAsia="宋体"/>
          <w:bCs/>
          <w:color w:val="000000"/>
          <w:sz w:val="36"/>
          <w:szCs w:val="36"/>
        </w:rPr>
      </w:pPr>
    </w:p>
    <w:p>
      <w:pPr>
        <w:spacing w:line="360" w:lineRule="auto"/>
        <w:ind w:firstLine="470" w:firstLineChars="196"/>
        <w:rPr>
          <w:rFonts w:ascii="宋体" w:hAnsi="宋体" w:eastAsia="宋体"/>
          <w:sz w:val="24"/>
          <w:szCs w:val="24"/>
        </w:rPr>
      </w:pPr>
      <w:r>
        <w:rPr>
          <w:rFonts w:hint="eastAsia" w:ascii="宋体" w:hAnsi="宋体" w:eastAsia="宋体"/>
          <w:sz w:val="24"/>
          <w:szCs w:val="24"/>
        </w:rPr>
        <w:t>一、比选评审办法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本次比选采用综合评分法。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二、评分办法说明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对各申请文件进行详细评审打分，满分为 100 分。各申请人所有评价指标得分之和为该申请人的综合得分。</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详细评分标准如下表： </w:t>
      </w:r>
    </w:p>
    <w:tbl>
      <w:tblPr>
        <w:tblStyle w:val="18"/>
        <w:tblW w:w="4951"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autofit"/>
        <w:tblCellMar>
          <w:top w:w="0" w:type="dxa"/>
          <w:left w:w="10" w:type="dxa"/>
          <w:bottom w:w="0" w:type="dxa"/>
          <w:right w:w="10" w:type="dxa"/>
        </w:tblCellMar>
      </w:tblPr>
      <w:tblGrid>
        <w:gridCol w:w="652"/>
        <w:gridCol w:w="1409"/>
        <w:gridCol w:w="728"/>
        <w:gridCol w:w="5653"/>
        <w:gridCol w:w="58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878"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lang w:val="zh-TW" w:eastAsia="zh-TW"/>
              </w:rPr>
              <w:t>序号</w:t>
            </w:r>
          </w:p>
        </w:tc>
        <w:tc>
          <w:tcPr>
            <w:tcW w:w="78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lang w:val="zh-TW" w:eastAsia="zh-TW"/>
              </w:rPr>
              <w:t>评分因素及权重</w:t>
            </w:r>
          </w:p>
        </w:tc>
        <w:tc>
          <w:tcPr>
            <w:tcW w:w="40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lang w:val="zh-TW" w:eastAsia="zh-TW"/>
              </w:rPr>
              <w:t>分值</w:t>
            </w:r>
          </w:p>
        </w:tc>
        <w:tc>
          <w:tcPr>
            <w:tcW w:w="313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lang w:val="zh-TW" w:eastAsia="zh-TW"/>
              </w:rPr>
              <w:t>评分标准</w:t>
            </w: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lang w:val="zh-TW" w:eastAsia="zh-TW"/>
              </w:rPr>
              <w:t>说明</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78"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rPr>
              <w:t>1</w:t>
            </w:r>
          </w:p>
        </w:tc>
        <w:tc>
          <w:tcPr>
            <w:tcW w:w="78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lang w:val="zh-TW" w:eastAsia="zh-TW"/>
              </w:rPr>
              <w:t>报价</w:t>
            </w:r>
          </w:p>
        </w:tc>
        <w:tc>
          <w:tcPr>
            <w:tcW w:w="40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2</w:t>
            </w:r>
          </w:p>
        </w:tc>
        <w:tc>
          <w:tcPr>
            <w:tcW w:w="313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left"/>
              <w:rPr>
                <w:rFonts w:ascii="宋体" w:hAnsi="宋体" w:eastAsia="宋体"/>
                <w:sz w:val="24"/>
                <w:szCs w:val="24"/>
              </w:rPr>
            </w:pPr>
            <w:r>
              <w:rPr>
                <w:rFonts w:ascii="宋体" w:hAnsi="宋体" w:eastAsia="宋体" w:cs="仿宋"/>
                <w:sz w:val="24"/>
                <w:szCs w:val="24"/>
                <w:lang w:val="zh-TW" w:eastAsia="zh-TW"/>
              </w:rPr>
              <w:t>满足招标文件要求且投标价格最低的投标报价</w:t>
            </w:r>
            <w:r>
              <w:rPr>
                <w:rFonts w:hint="eastAsia" w:ascii="宋体" w:hAnsi="宋体" w:eastAsia="宋体" w:cs="仿宋"/>
                <w:sz w:val="24"/>
                <w:szCs w:val="24"/>
                <w:lang w:val="zh-TW"/>
              </w:rPr>
              <w:t>为评标基准价。</w:t>
            </w:r>
            <w:r>
              <w:rPr>
                <w:rFonts w:ascii="宋体" w:hAnsi="宋体" w:eastAsia="宋体" w:cs="仿宋"/>
                <w:sz w:val="24"/>
                <w:szCs w:val="24"/>
                <w:lang w:val="zh-TW" w:eastAsia="zh-TW"/>
              </w:rPr>
              <w:t>投标价格得分=评标基准价/投标报价</w:t>
            </w:r>
            <w:r>
              <w:rPr>
                <w:rFonts w:ascii="宋体" w:hAnsi="宋体" w:eastAsia="宋体" w:cs="仿宋"/>
                <w:sz w:val="24"/>
                <w:szCs w:val="24"/>
              </w:rPr>
              <w:t>×</w:t>
            </w:r>
            <w:r>
              <w:rPr>
                <w:rFonts w:hint="eastAsia" w:ascii="宋体" w:hAnsi="宋体" w:eastAsia="宋体" w:cs="仿宋"/>
                <w:sz w:val="24"/>
                <w:szCs w:val="24"/>
              </w:rPr>
              <w:t>权重</w:t>
            </w: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eastAsia="宋体"/>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705" w:hRule="atLeast"/>
          <w:jc w:val="center"/>
        </w:trPr>
        <w:tc>
          <w:tcPr>
            <w:tcW w:w="361" w:type="pct"/>
            <w:vMerge w:val="restart"/>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cs="仿宋"/>
                <w:sz w:val="24"/>
                <w:szCs w:val="24"/>
              </w:rPr>
            </w:pPr>
            <w:r>
              <w:rPr>
                <w:rFonts w:ascii="宋体" w:hAnsi="宋体" w:eastAsia="宋体" w:cs="仿宋"/>
                <w:sz w:val="24"/>
                <w:szCs w:val="24"/>
              </w:rPr>
              <w:t>2</w:t>
            </w:r>
          </w:p>
          <w:p>
            <w:pPr>
              <w:jc w:val="center"/>
              <w:rPr>
                <w:rFonts w:ascii="宋体" w:hAnsi="宋体" w:eastAsia="宋体" w:cs="仿宋"/>
                <w:sz w:val="24"/>
                <w:szCs w:val="24"/>
              </w:rPr>
            </w:pPr>
          </w:p>
          <w:p>
            <w:pPr>
              <w:jc w:val="center"/>
              <w:rPr>
                <w:rFonts w:ascii="宋体" w:hAnsi="宋体" w:eastAsia="宋体"/>
                <w:sz w:val="24"/>
                <w:szCs w:val="24"/>
              </w:rPr>
            </w:pPr>
          </w:p>
        </w:tc>
        <w:tc>
          <w:tcPr>
            <w:tcW w:w="780" w:type="pct"/>
            <w:vMerge w:val="restart"/>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hint="eastAsia" w:ascii="宋体" w:hAnsi="宋体" w:eastAsia="宋体"/>
                <w:sz w:val="24"/>
                <w:szCs w:val="24"/>
              </w:rPr>
              <w:t>技术部分</w:t>
            </w:r>
          </w:p>
        </w:tc>
        <w:tc>
          <w:tcPr>
            <w:tcW w:w="40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sz w:val="24"/>
                <w:szCs w:val="24"/>
              </w:rPr>
              <w:t>28</w:t>
            </w:r>
          </w:p>
        </w:tc>
        <w:tc>
          <w:tcPr>
            <w:tcW w:w="313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仿宋" w:hAnsi="仿宋" w:eastAsia="仿宋" w:cs="仿宋"/>
                <w:color w:val="000000"/>
                <w:kern w:val="0"/>
                <w:szCs w:val="21"/>
                <w:lang w:bidi="ar"/>
              </w:rPr>
            </w:pPr>
            <w:r>
              <w:rPr>
                <w:rFonts w:hint="eastAsia" w:ascii="宋体" w:hAnsi="宋体" w:eastAsia="宋体" w:cs="仿宋"/>
                <w:sz w:val="24"/>
                <w:szCs w:val="24"/>
                <w:lang w:val="zh-TW" w:eastAsia="zh-TW"/>
              </w:rPr>
              <w:t>1.技术参数中</w:t>
            </w:r>
            <w:r>
              <w:rPr>
                <w:rFonts w:hint="eastAsia" w:ascii="宋体" w:hAnsi="宋体" w:eastAsia="宋体" w:cs="仿宋"/>
                <w:sz w:val="24"/>
                <w:szCs w:val="24"/>
              </w:rPr>
              <w:t>6</w:t>
            </w:r>
            <w:r>
              <w:rPr>
                <w:rFonts w:hint="eastAsia" w:ascii="宋体" w:hAnsi="宋体" w:eastAsia="宋体" w:cs="仿宋"/>
                <w:sz w:val="24"/>
                <w:szCs w:val="24"/>
                <w:lang w:val="zh-TW" w:eastAsia="zh-TW"/>
              </w:rPr>
              <w:t>项带“▲”项为重要参数，</w:t>
            </w:r>
            <w:r>
              <w:rPr>
                <w:rFonts w:hint="eastAsia" w:ascii="宋体" w:hAnsi="宋体" w:eastAsia="宋体" w:cs="仿宋"/>
                <w:sz w:val="24"/>
                <w:szCs w:val="24"/>
              </w:rPr>
              <w:t>每项2分，</w:t>
            </w:r>
            <w:r>
              <w:rPr>
                <w:rFonts w:hint="eastAsia" w:ascii="宋体" w:hAnsi="宋体" w:eastAsia="宋体" w:cs="仿宋"/>
                <w:sz w:val="24"/>
                <w:szCs w:val="24"/>
                <w:lang w:val="zh-TW" w:eastAsia="zh-TW"/>
              </w:rPr>
              <w:t>共计</w:t>
            </w:r>
            <w:r>
              <w:rPr>
                <w:rFonts w:hint="eastAsia" w:ascii="宋体" w:hAnsi="宋体" w:eastAsia="宋体" w:cs="仿宋"/>
                <w:sz w:val="24"/>
                <w:szCs w:val="24"/>
              </w:rPr>
              <w:t>12</w:t>
            </w:r>
            <w:r>
              <w:rPr>
                <w:rFonts w:hint="eastAsia" w:ascii="宋体" w:hAnsi="宋体" w:eastAsia="宋体" w:cs="仿宋"/>
                <w:sz w:val="24"/>
                <w:szCs w:val="24"/>
                <w:lang w:val="zh-TW" w:eastAsia="zh-TW"/>
              </w:rPr>
              <w:t>分，</w:t>
            </w:r>
            <w:r>
              <w:rPr>
                <w:rFonts w:hint="eastAsia" w:ascii="宋体" w:hAnsi="宋体" w:eastAsia="宋体" w:cs="仿宋"/>
                <w:sz w:val="24"/>
                <w:szCs w:val="24"/>
              </w:rPr>
              <w:t>完全满足得12分，</w:t>
            </w:r>
            <w:r>
              <w:rPr>
                <w:rFonts w:hint="eastAsia" w:ascii="宋体" w:hAnsi="宋体" w:eastAsia="宋体" w:cs="仿宋"/>
                <w:sz w:val="24"/>
                <w:szCs w:val="24"/>
                <w:lang w:val="zh-TW" w:eastAsia="zh-TW"/>
              </w:rPr>
              <w:t>每有 1 项不满足的扣</w:t>
            </w:r>
            <w:r>
              <w:rPr>
                <w:rFonts w:hint="eastAsia" w:ascii="宋体" w:hAnsi="宋体" w:eastAsia="宋体" w:cs="仿宋"/>
                <w:sz w:val="24"/>
                <w:szCs w:val="24"/>
              </w:rPr>
              <w:t>2</w:t>
            </w:r>
            <w:r>
              <w:rPr>
                <w:rFonts w:hint="eastAsia" w:ascii="宋体" w:hAnsi="宋体" w:eastAsia="宋体" w:cs="仿宋"/>
                <w:sz w:val="24"/>
                <w:szCs w:val="24"/>
                <w:lang w:val="zh-TW" w:eastAsia="zh-TW"/>
              </w:rPr>
              <w:t>分，</w:t>
            </w:r>
            <w:r>
              <w:rPr>
                <w:rFonts w:hint="eastAsia" w:ascii="宋体" w:hAnsi="宋体" w:eastAsia="宋体" w:cs="仿宋"/>
                <w:sz w:val="24"/>
                <w:szCs w:val="24"/>
              </w:rPr>
              <w:t>12</w:t>
            </w:r>
            <w:r>
              <w:rPr>
                <w:rFonts w:hint="eastAsia" w:ascii="宋体" w:hAnsi="宋体" w:eastAsia="宋体" w:cs="仿宋"/>
                <w:sz w:val="24"/>
                <w:szCs w:val="24"/>
                <w:lang w:val="zh-TW" w:eastAsia="zh-TW"/>
              </w:rPr>
              <w:t>分扣完为止。</w:t>
            </w:r>
          </w:p>
          <w:p>
            <w:r>
              <w:rPr>
                <w:rFonts w:hint="eastAsia" w:ascii="宋体" w:hAnsi="宋体" w:eastAsia="宋体" w:cs="仿宋"/>
                <w:sz w:val="24"/>
                <w:szCs w:val="24"/>
                <w:lang w:val="zh-TW" w:eastAsia="zh-TW"/>
              </w:rPr>
              <w:t>2.技术参数中带“●”项</w:t>
            </w:r>
            <w:r>
              <w:rPr>
                <w:rFonts w:hint="eastAsia" w:ascii="宋体" w:hAnsi="宋体" w:eastAsia="宋体" w:cs="仿宋"/>
                <w:sz w:val="24"/>
                <w:szCs w:val="24"/>
              </w:rPr>
              <w:t>表格中共有</w:t>
            </w:r>
            <w:r>
              <w:rPr>
                <w:rFonts w:ascii="宋体" w:hAnsi="宋体" w:eastAsia="宋体" w:cs="仿宋"/>
                <w:sz w:val="24"/>
                <w:szCs w:val="24"/>
              </w:rPr>
              <w:t>16</w:t>
            </w:r>
            <w:r>
              <w:rPr>
                <w:rFonts w:hint="eastAsia" w:ascii="宋体" w:hAnsi="宋体" w:eastAsia="宋体" w:cs="仿宋"/>
                <w:sz w:val="24"/>
                <w:szCs w:val="24"/>
              </w:rPr>
              <w:t>个子条目，每个子条目</w:t>
            </w:r>
            <w:r>
              <w:rPr>
                <w:rFonts w:ascii="宋体" w:hAnsi="宋体" w:eastAsia="宋体" w:cs="仿宋"/>
                <w:sz w:val="24"/>
                <w:szCs w:val="24"/>
              </w:rPr>
              <w:t>1</w:t>
            </w:r>
            <w:r>
              <w:rPr>
                <w:rFonts w:hint="eastAsia" w:ascii="宋体" w:hAnsi="宋体" w:eastAsia="宋体" w:cs="仿宋"/>
                <w:sz w:val="24"/>
                <w:szCs w:val="24"/>
              </w:rPr>
              <w:t>分，共计1</w:t>
            </w:r>
            <w:r>
              <w:rPr>
                <w:rFonts w:ascii="宋体" w:hAnsi="宋体" w:eastAsia="宋体" w:cs="仿宋"/>
                <w:sz w:val="24"/>
                <w:szCs w:val="24"/>
              </w:rPr>
              <w:t>6</w:t>
            </w:r>
            <w:r>
              <w:rPr>
                <w:rFonts w:hint="eastAsia" w:ascii="宋体" w:hAnsi="宋体" w:eastAsia="宋体" w:cs="仿宋"/>
                <w:sz w:val="24"/>
                <w:szCs w:val="24"/>
              </w:rPr>
              <w:t>分，完全满足得1</w:t>
            </w:r>
            <w:r>
              <w:rPr>
                <w:rFonts w:ascii="宋体" w:hAnsi="宋体" w:eastAsia="宋体" w:cs="仿宋"/>
                <w:sz w:val="24"/>
                <w:szCs w:val="24"/>
              </w:rPr>
              <w:t>6</w:t>
            </w:r>
            <w:r>
              <w:rPr>
                <w:rFonts w:hint="eastAsia" w:ascii="宋体" w:hAnsi="宋体" w:eastAsia="宋体" w:cs="仿宋"/>
                <w:sz w:val="24"/>
                <w:szCs w:val="24"/>
              </w:rPr>
              <w:t>分，</w:t>
            </w:r>
            <w:r>
              <w:rPr>
                <w:rFonts w:hint="eastAsia" w:ascii="宋体" w:hAnsi="宋体" w:eastAsia="宋体" w:cs="仿宋"/>
                <w:sz w:val="24"/>
                <w:szCs w:val="24"/>
                <w:lang w:val="zh-TW" w:eastAsia="zh-TW"/>
              </w:rPr>
              <w:t xml:space="preserve">每有 1 </w:t>
            </w:r>
            <w:r>
              <w:rPr>
                <w:rFonts w:hint="eastAsia" w:ascii="宋体" w:hAnsi="宋体" w:eastAsia="宋体" w:cs="仿宋"/>
                <w:sz w:val="24"/>
                <w:szCs w:val="24"/>
              </w:rPr>
              <w:t>条</w:t>
            </w:r>
            <w:r>
              <w:rPr>
                <w:rFonts w:hint="eastAsia" w:ascii="宋体" w:hAnsi="宋体" w:eastAsia="宋体" w:cs="仿宋"/>
                <w:sz w:val="24"/>
                <w:szCs w:val="24"/>
                <w:lang w:val="zh-TW" w:eastAsia="zh-TW"/>
              </w:rPr>
              <w:t>不满足扣</w:t>
            </w:r>
            <w:r>
              <w:rPr>
                <w:rFonts w:ascii="宋体" w:hAnsi="宋体" w:eastAsia="宋体" w:cs="仿宋"/>
                <w:sz w:val="24"/>
                <w:szCs w:val="24"/>
              </w:rPr>
              <w:t>1</w:t>
            </w:r>
            <w:r>
              <w:rPr>
                <w:rFonts w:hint="eastAsia" w:ascii="宋体" w:hAnsi="宋体" w:eastAsia="宋体" w:cs="仿宋"/>
                <w:sz w:val="24"/>
                <w:szCs w:val="24"/>
                <w:lang w:val="zh-TW" w:eastAsia="zh-TW"/>
              </w:rPr>
              <w:t>分，</w:t>
            </w:r>
            <w:r>
              <w:rPr>
                <w:rFonts w:hint="eastAsia" w:ascii="宋体" w:hAnsi="宋体" w:eastAsia="宋体" w:cs="仿宋"/>
                <w:sz w:val="24"/>
                <w:szCs w:val="24"/>
              </w:rPr>
              <w:t>1</w:t>
            </w:r>
            <w:r>
              <w:rPr>
                <w:rFonts w:ascii="宋体" w:hAnsi="宋体" w:eastAsia="宋体" w:cs="仿宋"/>
                <w:sz w:val="24"/>
                <w:szCs w:val="24"/>
              </w:rPr>
              <w:t>6</w:t>
            </w:r>
            <w:r>
              <w:rPr>
                <w:rFonts w:hint="eastAsia" w:ascii="宋体" w:hAnsi="宋体" w:eastAsia="宋体" w:cs="仿宋"/>
                <w:sz w:val="24"/>
                <w:szCs w:val="24"/>
                <w:lang w:val="zh-TW" w:eastAsia="zh-TW"/>
              </w:rPr>
              <w:t>分扣完为止。</w:t>
            </w: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eastAsia="宋体"/>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707" w:hRule="atLeast"/>
          <w:jc w:val="center"/>
        </w:trPr>
        <w:tc>
          <w:tcPr>
            <w:tcW w:w="361" w:type="pct"/>
            <w:vMerge w:val="continue"/>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p>
        </w:tc>
        <w:tc>
          <w:tcPr>
            <w:tcW w:w="780" w:type="pct"/>
            <w:vMerge w:val="continue"/>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sz w:val="24"/>
                <w:szCs w:val="24"/>
              </w:rPr>
              <w:t>24</w:t>
            </w:r>
          </w:p>
        </w:tc>
        <w:tc>
          <w:tcPr>
            <w:tcW w:w="313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eastAsia="宋体" w:cs="仿宋"/>
                <w:sz w:val="24"/>
                <w:szCs w:val="24"/>
                <w:lang w:val="zh-TW" w:eastAsia="zh-TW"/>
              </w:rPr>
            </w:pPr>
            <w:r>
              <w:rPr>
                <w:rFonts w:hint="eastAsia" w:ascii="宋体" w:hAnsi="宋体" w:eastAsia="宋体" w:cs="仿宋"/>
                <w:sz w:val="24"/>
                <w:szCs w:val="24"/>
              </w:rPr>
              <w:t>1</w:t>
            </w:r>
            <w:r>
              <w:rPr>
                <w:rFonts w:hint="eastAsia" w:ascii="宋体" w:hAnsi="宋体" w:eastAsia="宋体" w:cs="仿宋"/>
                <w:sz w:val="24"/>
                <w:szCs w:val="24"/>
                <w:lang w:val="zh-TW" w:eastAsia="zh-TW"/>
              </w:rPr>
              <w:t>.技术参数中带“</w:t>
            </w:r>
            <w:r>
              <w:rPr>
                <w:rFonts w:hint="eastAsia" w:ascii="宋体" w:hAnsi="宋体" w:eastAsia="宋体" w:cs="仿宋"/>
                <w:b/>
                <w:bCs/>
                <w:sz w:val="24"/>
                <w:szCs w:val="24"/>
              </w:rPr>
              <w:t>☆</w:t>
            </w:r>
            <w:r>
              <w:rPr>
                <w:rFonts w:hint="eastAsia" w:ascii="宋体" w:hAnsi="宋体" w:eastAsia="宋体" w:cs="仿宋"/>
                <w:sz w:val="24"/>
                <w:szCs w:val="24"/>
                <w:lang w:val="zh-TW" w:eastAsia="zh-TW"/>
              </w:rPr>
              <w:t>”项需要</w:t>
            </w:r>
            <w:r>
              <w:rPr>
                <w:rFonts w:hint="eastAsia" w:ascii="宋体" w:hAnsi="宋体" w:eastAsia="宋体" w:cs="仿宋"/>
                <w:sz w:val="24"/>
                <w:szCs w:val="24"/>
              </w:rPr>
              <w:t>在</w:t>
            </w:r>
            <w:r>
              <w:rPr>
                <w:rFonts w:hint="eastAsia" w:ascii="宋体" w:hAnsi="宋体" w:eastAsia="宋体" w:cs="仿宋"/>
                <w:sz w:val="24"/>
                <w:szCs w:val="24"/>
                <w:lang w:val="zh-TW" w:eastAsia="zh-TW"/>
              </w:rPr>
              <w:t>开标现场提供现场演示，共计</w:t>
            </w:r>
            <w:r>
              <w:rPr>
                <w:rFonts w:ascii="宋体" w:hAnsi="宋体" w:eastAsia="宋体" w:cs="仿宋"/>
                <w:sz w:val="24"/>
                <w:szCs w:val="24"/>
              </w:rPr>
              <w:t>16</w:t>
            </w:r>
            <w:r>
              <w:rPr>
                <w:rFonts w:hint="eastAsia" w:ascii="宋体" w:hAnsi="宋体" w:eastAsia="宋体" w:cs="仿宋"/>
                <w:sz w:val="24"/>
                <w:szCs w:val="24"/>
                <w:lang w:val="zh-TW" w:eastAsia="zh-TW"/>
              </w:rPr>
              <w:t>分，全部演示</w:t>
            </w:r>
            <w:r>
              <w:rPr>
                <w:rFonts w:hint="eastAsia" w:ascii="宋体" w:hAnsi="宋体" w:eastAsia="宋体" w:cs="仿宋"/>
                <w:sz w:val="24"/>
                <w:szCs w:val="24"/>
              </w:rPr>
              <w:t>完成</w:t>
            </w:r>
            <w:r>
              <w:rPr>
                <w:rFonts w:hint="eastAsia" w:ascii="宋体" w:hAnsi="宋体" w:eastAsia="宋体" w:cs="仿宋"/>
                <w:sz w:val="24"/>
                <w:szCs w:val="24"/>
                <w:lang w:val="zh-TW" w:eastAsia="zh-TW"/>
              </w:rPr>
              <w:t>得相应分数，每有 1 项不满足的扣2分，</w:t>
            </w:r>
            <w:r>
              <w:rPr>
                <w:rFonts w:ascii="宋体" w:hAnsi="宋体" w:eastAsia="宋体" w:cs="仿宋"/>
                <w:sz w:val="24"/>
                <w:szCs w:val="24"/>
              </w:rPr>
              <w:t>16</w:t>
            </w:r>
            <w:r>
              <w:rPr>
                <w:rFonts w:hint="eastAsia" w:ascii="宋体" w:hAnsi="宋体" w:eastAsia="宋体" w:cs="仿宋"/>
                <w:sz w:val="24"/>
                <w:szCs w:val="24"/>
                <w:lang w:val="zh-TW" w:eastAsia="zh-TW"/>
              </w:rPr>
              <w:t>分扣完为止。</w:t>
            </w:r>
          </w:p>
          <w:p>
            <w:pPr>
              <w:jc w:val="left"/>
              <w:rPr>
                <w:rFonts w:ascii="宋体" w:hAnsi="宋体" w:eastAsia="宋体" w:cs="宋体"/>
                <w:sz w:val="24"/>
                <w:szCs w:val="24"/>
              </w:rPr>
            </w:pPr>
            <w:r>
              <w:rPr>
                <w:rFonts w:hint="eastAsia" w:ascii="宋体" w:hAnsi="宋体" w:eastAsia="宋体" w:cs="宋体"/>
                <w:sz w:val="24"/>
                <w:szCs w:val="24"/>
              </w:rPr>
              <w:t>2.演示动画的专业性：达到设定对象和场景准确、无错配现场、采用实际作业视角要求得3分，不满足要求不得分。</w:t>
            </w:r>
          </w:p>
          <w:p>
            <w:pPr>
              <w:jc w:val="left"/>
              <w:rPr>
                <w:rFonts w:ascii="宋体" w:hAnsi="宋体" w:eastAsia="宋体" w:cs="宋体"/>
                <w:sz w:val="24"/>
                <w:szCs w:val="24"/>
              </w:rPr>
            </w:pPr>
            <w:r>
              <w:rPr>
                <w:rFonts w:hint="eastAsia" w:ascii="宋体" w:hAnsi="宋体" w:eastAsia="宋体" w:cs="宋体"/>
                <w:sz w:val="24"/>
                <w:szCs w:val="24"/>
              </w:rPr>
              <w:t>3.演示动画的流畅性：达到与实际作业节拍基本保持一致要求得2分，不满足要求不得分。</w:t>
            </w:r>
          </w:p>
          <w:p>
            <w:pPr>
              <w:jc w:val="left"/>
              <w:rPr>
                <w:rFonts w:ascii="宋体" w:hAnsi="宋体" w:eastAsia="宋体" w:cs="宋体"/>
                <w:sz w:val="24"/>
                <w:szCs w:val="24"/>
                <w:lang w:val="zh-TW"/>
              </w:rPr>
            </w:pPr>
            <w:r>
              <w:rPr>
                <w:rFonts w:hint="eastAsia" w:ascii="宋体" w:hAnsi="宋体" w:eastAsia="宋体" w:cs="宋体"/>
                <w:sz w:val="24"/>
                <w:szCs w:val="24"/>
              </w:rPr>
              <w:t>4.演示动画与实际作业过程的一致性：达到与实际作业流程基本保持一致要求得3分，不满足要求不得分。</w:t>
            </w: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eastAsia="宋体"/>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9" w:hRule="atLeast"/>
          <w:jc w:val="center"/>
        </w:trPr>
        <w:tc>
          <w:tcPr>
            <w:tcW w:w="361" w:type="pct"/>
            <w:tcBorders>
              <w:top w:val="single" w:color="auto"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hint="eastAsia" w:ascii="宋体" w:hAnsi="宋体" w:eastAsia="宋体"/>
                <w:sz w:val="24"/>
                <w:szCs w:val="24"/>
              </w:rPr>
              <w:t>3</w:t>
            </w:r>
          </w:p>
        </w:tc>
        <w:tc>
          <w:tcPr>
            <w:tcW w:w="780" w:type="pct"/>
            <w:tcBorders>
              <w:top w:val="single" w:color="auto"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hint="eastAsia" w:ascii="宋体" w:hAnsi="宋体" w:eastAsia="宋体"/>
                <w:sz w:val="24"/>
                <w:szCs w:val="24"/>
              </w:rPr>
              <w:t>商务部分</w:t>
            </w:r>
          </w:p>
        </w:tc>
        <w:tc>
          <w:tcPr>
            <w:tcW w:w="40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hint="eastAsia" w:ascii="宋体" w:hAnsi="宋体" w:eastAsia="宋体"/>
                <w:sz w:val="24"/>
                <w:szCs w:val="24"/>
              </w:rPr>
              <w:t>8</w:t>
            </w:r>
          </w:p>
        </w:tc>
        <w:tc>
          <w:tcPr>
            <w:tcW w:w="313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left"/>
              <w:rPr>
                <w:rFonts w:ascii="宋体" w:hAnsi="宋体" w:eastAsia="宋体" w:cs="宋体"/>
                <w:sz w:val="24"/>
                <w:szCs w:val="24"/>
              </w:rPr>
            </w:pPr>
            <w:r>
              <w:rPr>
                <w:rFonts w:hint="eastAsia" w:ascii="宋体" w:hAnsi="宋体" w:eastAsia="宋体" w:cs="宋体"/>
                <w:sz w:val="24"/>
                <w:szCs w:val="24"/>
              </w:rPr>
              <w:t>1. 投标人获得国家高新科技企业认证、国家级高新科技园区高新科技企业并提供证书复印件（否则不得分），满分2分，不符合不得分。</w:t>
            </w:r>
          </w:p>
          <w:p>
            <w:pPr>
              <w:jc w:val="left"/>
              <w:rPr>
                <w:rFonts w:ascii="宋体" w:hAnsi="宋体" w:eastAsia="宋体" w:cs="宋体"/>
                <w:sz w:val="24"/>
                <w:szCs w:val="24"/>
              </w:rPr>
            </w:pPr>
            <w:r>
              <w:rPr>
                <w:rFonts w:hint="eastAsia" w:ascii="宋体" w:hAnsi="宋体" w:eastAsia="宋体" w:cs="宋体"/>
                <w:sz w:val="24"/>
                <w:szCs w:val="24"/>
              </w:rPr>
              <w:t>2. 投标人具有软件企业认证证书并提供证书复印件（否则不得分）2分。</w:t>
            </w:r>
          </w:p>
          <w:p>
            <w:pPr>
              <w:jc w:val="left"/>
              <w:rPr>
                <w:rFonts w:ascii="宋体" w:hAnsi="宋体" w:eastAsia="宋体" w:cs="宋体"/>
                <w:sz w:val="24"/>
                <w:szCs w:val="24"/>
              </w:rPr>
            </w:pPr>
            <w:r>
              <w:rPr>
                <w:rFonts w:hint="eastAsia" w:ascii="宋体" w:hAnsi="宋体" w:eastAsia="宋体" w:cs="宋体"/>
                <w:sz w:val="24"/>
                <w:szCs w:val="24"/>
              </w:rPr>
              <w:t>3.投标人须提供有效的ISO9001或者ISO9002体系认证书。符合要求得2分，不符合不得分。</w:t>
            </w:r>
          </w:p>
          <w:p>
            <w:pPr>
              <w:jc w:val="left"/>
              <w:rPr>
                <w:rFonts w:ascii="宋体" w:hAnsi="宋体" w:eastAsia="PMingLiU" w:cs="仿宋"/>
                <w:sz w:val="24"/>
                <w:szCs w:val="24"/>
                <w:lang w:val="zh-TW" w:eastAsia="zh-TW"/>
              </w:rPr>
            </w:pPr>
            <w:r>
              <w:rPr>
                <w:rFonts w:hint="eastAsia" w:ascii="宋体" w:hAnsi="宋体" w:eastAsia="宋体" w:cs="宋体"/>
                <w:sz w:val="24"/>
                <w:szCs w:val="24"/>
              </w:rPr>
              <w:t>4. 投标人应具有本次采购物资相关的产品开发和技术服务能力，提供近3年同类培训产品销售或开发服务项目的供货业绩,符合要求得2分，不符合不得分。</w:t>
            </w: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eastAsia="宋体"/>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46" w:hRule="atLeast"/>
          <w:jc w:val="center"/>
        </w:trPr>
        <w:tc>
          <w:tcPr>
            <w:tcW w:w="361" w:type="pct"/>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hint="eastAsia" w:ascii="宋体" w:hAnsi="宋体" w:eastAsia="宋体"/>
                <w:sz w:val="24"/>
                <w:szCs w:val="24"/>
              </w:rPr>
              <w:t>4</w:t>
            </w:r>
          </w:p>
        </w:tc>
        <w:tc>
          <w:tcPr>
            <w:tcW w:w="780" w:type="pct"/>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pStyle w:val="48"/>
              <w:spacing w:before="144"/>
              <w:jc w:val="center"/>
              <w:rPr>
                <w:rFonts w:hint="default" w:ascii="宋体" w:hAnsi="宋体" w:eastAsia="宋体"/>
                <w:color w:val="auto"/>
                <w:sz w:val="24"/>
                <w:szCs w:val="24"/>
              </w:rPr>
            </w:pPr>
            <w:r>
              <w:rPr>
                <w:rFonts w:ascii="宋体" w:hAnsi="宋体" w:eastAsia="宋体"/>
                <w:color w:val="auto"/>
                <w:sz w:val="24"/>
                <w:szCs w:val="24"/>
              </w:rPr>
              <w:t>售后</w:t>
            </w:r>
          </w:p>
          <w:p>
            <w:pPr>
              <w:pStyle w:val="48"/>
              <w:spacing w:before="144"/>
              <w:jc w:val="center"/>
              <w:rPr>
                <w:rFonts w:hint="default" w:ascii="宋体" w:hAnsi="宋体" w:eastAsia="宋体"/>
                <w:color w:val="auto"/>
                <w:sz w:val="24"/>
                <w:szCs w:val="24"/>
              </w:rPr>
            </w:pPr>
            <w:r>
              <w:rPr>
                <w:rFonts w:ascii="宋体" w:hAnsi="宋体" w:eastAsia="宋体"/>
                <w:color w:val="auto"/>
                <w:sz w:val="24"/>
                <w:szCs w:val="24"/>
              </w:rPr>
              <w:t>服务</w:t>
            </w:r>
          </w:p>
        </w:tc>
        <w:tc>
          <w:tcPr>
            <w:tcW w:w="40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8"/>
              <w:jc w:val="center"/>
              <w:rPr>
                <w:rFonts w:hint="default" w:ascii="宋体" w:hAnsi="宋体" w:eastAsia="宋体"/>
                <w:color w:val="auto"/>
                <w:sz w:val="24"/>
                <w:szCs w:val="24"/>
              </w:rPr>
            </w:pPr>
            <w:r>
              <w:rPr>
                <w:rFonts w:ascii="宋体" w:hAnsi="宋体" w:eastAsia="宋体"/>
                <w:color w:val="auto"/>
                <w:sz w:val="24"/>
                <w:szCs w:val="24"/>
              </w:rPr>
              <w:t>5</w:t>
            </w:r>
          </w:p>
        </w:tc>
        <w:tc>
          <w:tcPr>
            <w:tcW w:w="313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投标人拟投入本项目售后服务人员具有售后服务管理师资格证书，并提供证书复印件和连续近三个月在本单位缴纳社保的证明材料得</w:t>
            </w:r>
            <w:r>
              <w:rPr>
                <w:rFonts w:hint="eastAsia" w:ascii="宋体" w:hAnsi="宋体" w:cs="宋体"/>
                <w:sz w:val="24"/>
                <w:szCs w:val="24"/>
              </w:rPr>
              <w:t>5</w:t>
            </w:r>
            <w:r>
              <w:rPr>
                <w:rFonts w:hint="eastAsia" w:ascii="宋体" w:hAnsi="宋体" w:eastAsia="宋体" w:cs="宋体"/>
                <w:sz w:val="24"/>
                <w:szCs w:val="24"/>
              </w:rPr>
              <w:t>分，不提供不得分。</w:t>
            </w:r>
          </w:p>
          <w:p>
            <w:pPr>
              <w:widowControl/>
              <w:spacing w:line="360" w:lineRule="auto"/>
              <w:jc w:val="left"/>
              <w:rPr>
                <w:rFonts w:ascii="宋体" w:hAnsi="宋体" w:eastAsia="宋体" w:cs="宋体"/>
                <w:sz w:val="24"/>
                <w:szCs w:val="24"/>
                <w:lang w:val="zh-TW" w:eastAsia="zh-TW"/>
              </w:rPr>
            </w:pPr>
            <w:r>
              <w:rPr>
                <w:rFonts w:hint="eastAsia" w:ascii="宋体" w:hAnsi="宋体" w:eastAsia="宋体" w:cs="宋体"/>
                <w:b/>
                <w:bCs/>
                <w:sz w:val="24"/>
                <w:szCs w:val="24"/>
              </w:rPr>
              <w:t>评审依据：提供售后服务管理师资格证书复印及缴纳社保的证明材料加盖供企业公章，否则不得分。</w:t>
            </w: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eastAsia="宋体"/>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46" w:hRule="atLeast"/>
          <w:jc w:val="center"/>
        </w:trPr>
        <w:tc>
          <w:tcPr>
            <w:tcW w:w="361" w:type="pct"/>
            <w:vMerge w:val="continue"/>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cs="仿宋"/>
                <w:sz w:val="24"/>
                <w:szCs w:val="24"/>
              </w:rPr>
            </w:pPr>
          </w:p>
        </w:tc>
        <w:tc>
          <w:tcPr>
            <w:tcW w:w="780" w:type="pct"/>
            <w:vMerge w:val="continue"/>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8"/>
              <w:spacing w:before="144"/>
              <w:jc w:val="center"/>
              <w:rPr>
                <w:rFonts w:hint="default" w:ascii="宋体" w:hAnsi="宋体" w:eastAsia="宋体"/>
                <w:color w:val="auto"/>
                <w:sz w:val="24"/>
                <w:szCs w:val="24"/>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8"/>
              <w:jc w:val="center"/>
              <w:rPr>
                <w:rFonts w:hint="default" w:ascii="宋体" w:hAnsi="宋体" w:eastAsia="宋体"/>
                <w:color w:val="auto"/>
                <w:sz w:val="24"/>
                <w:szCs w:val="24"/>
              </w:rPr>
            </w:pPr>
            <w:r>
              <w:rPr>
                <w:rFonts w:ascii="宋体" w:hAnsi="宋体" w:eastAsia="宋体"/>
                <w:color w:val="auto"/>
                <w:sz w:val="24"/>
                <w:szCs w:val="24"/>
              </w:rPr>
              <w:t>3</w:t>
            </w:r>
          </w:p>
        </w:tc>
        <w:tc>
          <w:tcPr>
            <w:tcW w:w="313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left"/>
              <w:rPr>
                <w:rFonts w:hint="eastAsia" w:ascii="宋体" w:hAnsi="宋体" w:eastAsia="宋体" w:cs="宋体"/>
                <w:sz w:val="24"/>
                <w:szCs w:val="24"/>
                <w:lang w:eastAsia="zh-CN"/>
              </w:rPr>
            </w:pPr>
            <w:r>
              <w:rPr>
                <w:rFonts w:hint="eastAsia" w:ascii="宋体" w:hAnsi="宋体" w:eastAsia="宋体" w:cs="宋体"/>
                <w:sz w:val="24"/>
                <w:szCs w:val="24"/>
              </w:rPr>
              <w:t>提供质保服务承诺</w:t>
            </w:r>
            <w:r>
              <w:rPr>
                <w:rFonts w:hint="eastAsia" w:ascii="宋体" w:hAnsi="宋体" w:eastAsia="宋体" w:cs="宋体"/>
                <w:sz w:val="24"/>
                <w:szCs w:val="24"/>
                <w:lang w:eastAsia="zh-CN"/>
              </w:rPr>
              <w:t>：</w:t>
            </w:r>
          </w:p>
          <w:p>
            <w:pPr>
              <w:jc w:val="left"/>
              <w:rPr>
                <w:rFonts w:ascii="宋体" w:hAnsi="宋体" w:eastAsia="宋体" w:cs="宋体"/>
                <w:sz w:val="24"/>
                <w:szCs w:val="24"/>
              </w:rPr>
            </w:pPr>
            <w:r>
              <w:rPr>
                <w:rFonts w:hint="eastAsia" w:ascii="宋体" w:hAnsi="宋体" w:eastAsia="宋体" w:cs="宋体"/>
                <w:sz w:val="24"/>
                <w:szCs w:val="24"/>
              </w:rPr>
              <w:t>1.课程修改服务免费：满足要求得2分，不满足不得分。</w:t>
            </w:r>
          </w:p>
          <w:p>
            <w:pPr>
              <w:jc w:val="left"/>
              <w:rPr>
                <w:rFonts w:ascii="宋体" w:hAnsi="宋体" w:eastAsia="宋体" w:cs="宋体"/>
                <w:sz w:val="24"/>
                <w:szCs w:val="24"/>
                <w:lang w:val="zh-TW" w:eastAsia="zh-TW"/>
              </w:rPr>
            </w:pPr>
            <w:r>
              <w:rPr>
                <w:rFonts w:hint="eastAsia" w:ascii="宋体" w:hAnsi="宋体" w:eastAsia="宋体" w:cs="宋体"/>
                <w:sz w:val="24"/>
                <w:szCs w:val="24"/>
              </w:rPr>
              <w:t>2.备份要求：因不可抗力因素造成的课件丢失等情况，招标商应提供相应虚拟仿真资源，并能够满足质保服务方面的其他要求，满足要求的1分，不满足不得分。</w:t>
            </w: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宋体"/>
                <w:sz w:val="24"/>
                <w:szCs w:val="24"/>
              </w:rPr>
            </w:pPr>
          </w:p>
        </w:tc>
      </w:tr>
    </w:tbl>
    <w:p>
      <w:pPr>
        <w:jc w:val="center"/>
        <w:rPr>
          <w:rFonts w:ascii="宋体" w:hAnsi="宋体" w:eastAsia="宋体" w:cs="仿宋"/>
          <w:sz w:val="24"/>
          <w:szCs w:val="24"/>
          <w:lang w:val="zh-TW" w:eastAsia="zh-TW"/>
        </w:rPr>
      </w:pPr>
    </w:p>
    <w:p>
      <w:pPr>
        <w:rPr>
          <w:rFonts w:ascii="宋体" w:hAnsi="宋体" w:eastAsia="宋体"/>
          <w:color w:val="000000"/>
          <w:sz w:val="36"/>
          <w:szCs w:val="36"/>
        </w:rPr>
      </w:pPr>
      <w:r>
        <w:rPr>
          <w:rFonts w:hint="eastAsia" w:ascii="宋体" w:hAnsi="宋体" w:eastAsia="宋体"/>
          <w:color w:val="000000"/>
          <w:sz w:val="36"/>
          <w:szCs w:val="36"/>
        </w:rPr>
        <w:br w:type="page"/>
      </w:r>
    </w:p>
    <w:p>
      <w:pPr>
        <w:pStyle w:val="2"/>
      </w:pPr>
    </w:p>
    <w:p>
      <w:pPr>
        <w:pStyle w:val="3"/>
        <w:spacing w:line="400" w:lineRule="exact"/>
        <w:ind w:firstLine="2168" w:firstLineChars="600"/>
        <w:rPr>
          <w:rFonts w:ascii="宋体" w:hAnsi="宋体" w:eastAsia="宋体"/>
          <w:color w:val="000000"/>
          <w:sz w:val="36"/>
          <w:szCs w:val="36"/>
        </w:rPr>
      </w:pPr>
      <w:r>
        <w:rPr>
          <w:rFonts w:hint="eastAsia" w:ascii="宋体" w:hAnsi="宋体" w:eastAsia="宋体"/>
          <w:color w:val="000000"/>
          <w:sz w:val="36"/>
          <w:szCs w:val="36"/>
        </w:rPr>
        <w:t>第六章 比选申请文件格式</w:t>
      </w:r>
      <w:bookmarkEnd w:id="25"/>
    </w:p>
    <w:p>
      <w:pPr>
        <w:ind w:firstLine="3614" w:firstLineChars="1000"/>
        <w:rPr>
          <w:rFonts w:ascii="宋体" w:hAnsi="宋体" w:eastAsia="宋体" w:cs="Times New Roman"/>
          <w:b/>
          <w:sz w:val="36"/>
        </w:rPr>
      </w:pPr>
      <w:r>
        <w:rPr>
          <w:rFonts w:ascii="宋体" w:hAnsi="宋体" w:eastAsia="宋体" w:cs="Times New Roman"/>
          <w:b/>
          <w:sz w:val="36"/>
        </w:rPr>
        <w:t>（正本）</w:t>
      </w:r>
    </w:p>
    <w:p>
      <w:pPr>
        <w:spacing w:line="360" w:lineRule="auto"/>
        <w:jc w:val="center"/>
        <w:rPr>
          <w:rFonts w:ascii="宋体" w:hAnsi="宋体" w:eastAsia="宋体"/>
          <w:b/>
          <w:sz w:val="52"/>
          <w:szCs w:val="52"/>
        </w:rPr>
      </w:pPr>
    </w:p>
    <w:p>
      <w:pPr>
        <w:spacing w:line="360" w:lineRule="auto"/>
        <w:jc w:val="center"/>
        <w:rPr>
          <w:rFonts w:ascii="宋体" w:hAnsi="宋体" w:eastAsia="宋体"/>
          <w:b/>
          <w:sz w:val="52"/>
          <w:szCs w:val="52"/>
        </w:rPr>
      </w:pPr>
    </w:p>
    <w:p>
      <w:pPr>
        <w:spacing w:line="360" w:lineRule="auto"/>
        <w:jc w:val="center"/>
        <w:rPr>
          <w:rFonts w:ascii="宋体" w:hAnsi="宋体" w:eastAsia="宋体"/>
          <w:b/>
          <w:sz w:val="52"/>
          <w:szCs w:val="52"/>
        </w:rPr>
      </w:pPr>
      <w:r>
        <w:rPr>
          <w:rFonts w:hint="eastAsia" w:ascii="宋体" w:hAnsi="宋体" w:eastAsia="宋体"/>
          <w:b/>
          <w:sz w:val="52"/>
          <w:szCs w:val="52"/>
        </w:rPr>
        <w:t>项目名称1</w:t>
      </w:r>
    </w:p>
    <w:p>
      <w:pPr>
        <w:spacing w:line="360" w:lineRule="auto"/>
        <w:rPr>
          <w:rFonts w:ascii="宋体" w:hAnsi="宋体" w:eastAsia="宋体"/>
          <w:b/>
          <w:sz w:val="52"/>
          <w:szCs w:val="52"/>
        </w:rPr>
      </w:pPr>
    </w:p>
    <w:p>
      <w:pPr>
        <w:spacing w:line="360" w:lineRule="auto"/>
        <w:ind w:firstLine="1446" w:firstLineChars="200"/>
        <w:jc w:val="left"/>
        <w:rPr>
          <w:rFonts w:ascii="宋体" w:hAnsi="宋体" w:eastAsia="宋体"/>
          <w:b/>
          <w:sz w:val="72"/>
          <w:szCs w:val="72"/>
        </w:rPr>
      </w:pPr>
      <w:r>
        <w:rPr>
          <w:rFonts w:hint="eastAsia" w:ascii="宋体" w:hAnsi="宋体" w:eastAsia="宋体"/>
          <w:b/>
          <w:sz w:val="72"/>
          <w:szCs w:val="72"/>
        </w:rPr>
        <w:t>竞争性比选申请文件</w:t>
      </w:r>
    </w:p>
    <w:p>
      <w:pPr>
        <w:spacing w:line="360" w:lineRule="auto"/>
        <w:ind w:firstLine="1446" w:firstLineChars="200"/>
        <w:jc w:val="left"/>
        <w:rPr>
          <w:rFonts w:ascii="宋体" w:hAnsi="宋体" w:eastAsia="宋体"/>
          <w:b/>
          <w:sz w:val="72"/>
          <w:szCs w:val="72"/>
        </w:rPr>
      </w:pPr>
    </w:p>
    <w:p>
      <w:pPr>
        <w:spacing w:line="360" w:lineRule="auto"/>
        <w:ind w:firstLine="1446" w:firstLineChars="200"/>
        <w:jc w:val="left"/>
        <w:rPr>
          <w:rFonts w:ascii="宋体" w:hAnsi="宋体" w:eastAsia="宋体"/>
          <w:b/>
          <w:sz w:val="72"/>
          <w:szCs w:val="72"/>
        </w:rPr>
      </w:pPr>
    </w:p>
    <w:p>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pPr>
        <w:pStyle w:val="8"/>
        <w:ind w:firstLine="643" w:firstLineChars="200"/>
        <w:rPr>
          <w:rFonts w:ascii="宋体" w:hAnsi="宋体" w:eastAsia="宋体"/>
        </w:rPr>
      </w:pPr>
      <w:r>
        <w:rPr>
          <w:rFonts w:hint="eastAsia" w:ascii="宋体" w:hAnsi="宋体" w:eastAsia="宋体" w:cs="Times New Roman"/>
          <w:b/>
          <w:sz w:val="32"/>
        </w:rPr>
        <w:t>包号：（若有）</w:t>
      </w:r>
    </w:p>
    <w:p>
      <w:pPr>
        <w:jc w:val="center"/>
        <w:rPr>
          <w:rFonts w:ascii="宋体" w:hAnsi="宋体" w:eastAsia="宋体" w:cs="Times New Roman"/>
          <w:b/>
          <w:sz w:val="36"/>
        </w:rPr>
      </w:pPr>
    </w:p>
    <w:p>
      <w:pPr>
        <w:jc w:val="center"/>
        <w:rPr>
          <w:rFonts w:ascii="宋体" w:hAnsi="宋体" w:eastAsia="宋体" w:cs="Times New Roman"/>
          <w:b/>
          <w:sz w:val="32"/>
          <w:szCs w:val="32"/>
        </w:rPr>
      </w:pPr>
    </w:p>
    <w:p>
      <w:pPr>
        <w:jc w:val="center"/>
        <w:rPr>
          <w:rFonts w:ascii="宋体" w:hAnsi="宋体" w:eastAsia="宋体" w:cs="Times New Roman"/>
          <w:b/>
          <w:sz w:val="36"/>
        </w:rPr>
      </w:pPr>
    </w:p>
    <w:p>
      <w:pPr>
        <w:jc w:val="center"/>
        <w:rPr>
          <w:rFonts w:ascii="宋体" w:hAnsi="宋体" w:eastAsia="宋体" w:cs="Times New Roman"/>
          <w:b/>
          <w:sz w:val="36"/>
        </w:rPr>
      </w:pPr>
    </w:p>
    <w:p>
      <w:pPr>
        <w:spacing w:line="440" w:lineRule="exact"/>
        <w:jc w:val="center"/>
        <w:rPr>
          <w:rFonts w:ascii="宋体" w:hAnsi="宋体" w:eastAsia="宋体" w:cs="Times New Roman"/>
          <w:b/>
          <w:sz w:val="36"/>
        </w:rPr>
      </w:pPr>
    </w:p>
    <w:p>
      <w:pPr>
        <w:jc w:val="center"/>
        <w:rPr>
          <w:rFonts w:ascii="宋体" w:hAnsi="宋体" w:eastAsia="宋体" w:cs="Arial"/>
          <w:b/>
          <w:bCs/>
          <w:sz w:val="32"/>
          <w:szCs w:val="32"/>
        </w:rPr>
      </w:pP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pPr>
        <w:pStyle w:val="4"/>
        <w:spacing w:line="400" w:lineRule="exact"/>
        <w:jc w:val="center"/>
        <w:rPr>
          <w:rFonts w:ascii="宋体" w:hAnsi="宋体" w:eastAsia="宋体"/>
          <w:sz w:val="32"/>
        </w:rPr>
      </w:pPr>
      <w:bookmarkStart w:id="28" w:name="_Toc217446082"/>
      <w:r>
        <w:rPr>
          <w:rFonts w:hint="eastAsia" w:ascii="宋体" w:hAnsi="宋体" w:eastAsia="宋体"/>
          <w:sz w:val="32"/>
        </w:rPr>
        <w:t>一、</w:t>
      </w:r>
      <w:bookmarkEnd w:id="28"/>
      <w:r>
        <w:rPr>
          <w:rFonts w:hint="eastAsia" w:ascii="宋体" w:hAnsi="宋体" w:eastAsia="宋体"/>
          <w:sz w:val="32"/>
        </w:rPr>
        <w:t>申请函</w:t>
      </w:r>
    </w:p>
    <w:p>
      <w:pPr>
        <w:pStyle w:val="12"/>
        <w:spacing w:line="400" w:lineRule="exact"/>
        <w:ind w:firstLine="0"/>
        <w:rPr>
          <w:rFonts w:ascii="宋体" w:hAnsi="宋体" w:eastAsia="宋体"/>
          <w:bCs/>
          <w:sz w:val="24"/>
          <w:szCs w:val="24"/>
          <w:u w:val="single"/>
        </w:rPr>
      </w:pPr>
      <w:r>
        <w:rPr>
          <w:rFonts w:hint="eastAsia" w:ascii="宋体" w:hAnsi="宋体" w:eastAsia="宋体"/>
          <w:bCs/>
          <w:sz w:val="24"/>
          <w:szCs w:val="24"/>
          <w:u w:val="single"/>
        </w:rPr>
        <w:t>xxxxxxxxx</w:t>
      </w:r>
      <w:r>
        <w:rPr>
          <w:rFonts w:hint="eastAsia" w:ascii="宋体" w:hAnsi="宋体" w:eastAsia="宋体"/>
          <w:bCs/>
          <w:sz w:val="24"/>
          <w:szCs w:val="24"/>
        </w:rPr>
        <w:t>：</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”项目比选文件（比选编号：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），决定参加贵单位组织的本项目比选。</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（申请人名称）全权处理本项目比选的有关事宜。</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1、我方自愿按照比选文件规定的各项要求向比选人提供所需货物/服务。</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、我方为本项目提交的</w:t>
      </w:r>
      <w:r>
        <w:rPr>
          <w:rFonts w:hint="eastAsia" w:ascii="宋体" w:hAnsi="宋体" w:eastAsia="宋体"/>
          <w:sz w:val="24"/>
        </w:rPr>
        <w:t>比选申请</w:t>
      </w:r>
      <w:r>
        <w:rPr>
          <w:rFonts w:hint="eastAsia" w:ascii="宋体" w:hAnsi="宋体" w:eastAsia="宋体"/>
          <w:bCs/>
          <w:sz w:val="24"/>
          <w:szCs w:val="24"/>
        </w:rPr>
        <w:t>文件正本1份。</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、我方承诺比选有效期为比选截止日后</w:t>
      </w:r>
      <w:r>
        <w:rPr>
          <w:rFonts w:hint="eastAsia" w:ascii="宋体" w:hAnsi="宋体" w:eastAsia="宋体"/>
          <w:bCs/>
          <w:sz w:val="24"/>
          <w:szCs w:val="24"/>
          <w:u w:val="single"/>
        </w:rPr>
        <w:t>XXX</w:t>
      </w:r>
      <w:r>
        <w:rPr>
          <w:rFonts w:hint="eastAsia" w:ascii="宋体" w:hAnsi="宋体" w:eastAsia="宋体"/>
          <w:bCs/>
          <w:sz w:val="24"/>
          <w:szCs w:val="24"/>
        </w:rPr>
        <w:t>天（日历日）。</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、我方愿意提供贵校可能另外要求的，与比选有关的文件资料，并保证我方已提供和将要提供的文件资料是真实、准确的。</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、我方完全理解比选人不一定将合同授予最低报价的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pPr>
        <w:pStyle w:val="12"/>
        <w:spacing w:line="400" w:lineRule="exact"/>
        <w:ind w:firstLine="0"/>
        <w:rPr>
          <w:rFonts w:ascii="宋体" w:hAnsi="宋体" w:eastAsia="宋体"/>
          <w:bCs/>
          <w:sz w:val="24"/>
          <w:szCs w:val="24"/>
        </w:rPr>
      </w:pPr>
    </w:p>
    <w:p>
      <w:pPr>
        <w:pStyle w:val="12"/>
        <w:spacing w:line="40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传真：</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日期：</w:t>
      </w:r>
    </w:p>
    <w:p>
      <w:pPr>
        <w:rPr>
          <w:rFonts w:ascii="宋体" w:hAnsi="宋体" w:eastAsia="宋体"/>
          <w:b/>
          <w:sz w:val="32"/>
          <w:szCs w:val="32"/>
        </w:rPr>
      </w:pPr>
      <w:r>
        <w:rPr>
          <w:rFonts w:hint="eastAsia" w:ascii="宋体" w:hAnsi="宋体" w:eastAsia="宋体"/>
          <w:b/>
          <w:sz w:val="32"/>
          <w:szCs w:val="32"/>
        </w:rPr>
        <w:br w:type="page"/>
      </w:r>
    </w:p>
    <w:p>
      <w:pPr>
        <w:pStyle w:val="4"/>
        <w:spacing w:line="400" w:lineRule="exact"/>
        <w:jc w:val="center"/>
        <w:rPr>
          <w:rFonts w:ascii="宋体" w:hAnsi="宋体" w:eastAsia="宋体"/>
          <w:sz w:val="32"/>
        </w:rPr>
      </w:pPr>
      <w:r>
        <w:rPr>
          <w:rFonts w:hint="eastAsia" w:ascii="宋体" w:hAnsi="宋体" w:eastAsia="宋体"/>
          <w:sz w:val="32"/>
        </w:rPr>
        <w:t>二、法定代表人/单位负责人授权书</w:t>
      </w:r>
    </w:p>
    <w:p>
      <w:pPr>
        <w:widowControl/>
        <w:spacing w:line="360" w:lineRule="atLeast"/>
        <w:ind w:firstLine="472" w:firstLineChars="196"/>
        <w:jc w:val="left"/>
        <w:rPr>
          <w:rFonts w:ascii="宋体" w:hAnsi="宋体" w:eastAsia="宋体"/>
          <w:b/>
          <w:sz w:val="24"/>
        </w:rPr>
      </w:pPr>
    </w:p>
    <w:p>
      <w:pPr>
        <w:widowControl/>
        <w:spacing w:line="360" w:lineRule="atLeast"/>
        <w:ind w:firstLine="472" w:firstLineChars="196"/>
        <w:jc w:val="left"/>
        <w:rPr>
          <w:rFonts w:ascii="宋体" w:hAnsi="宋体" w:eastAsia="宋体"/>
          <w:b/>
          <w:sz w:val="24"/>
        </w:rPr>
      </w:pPr>
    </w:p>
    <w:p>
      <w:pPr>
        <w:widowControl/>
        <w:spacing w:line="360" w:lineRule="auto"/>
        <w:jc w:val="left"/>
        <w:rPr>
          <w:rFonts w:ascii="宋体" w:hAnsi="宋体" w:eastAsia="宋体"/>
          <w:sz w:val="24"/>
        </w:rPr>
      </w:pPr>
      <w:r>
        <w:rPr>
          <w:rFonts w:hint="eastAsia" w:ascii="宋体" w:hAnsi="宋体" w:eastAsia="宋体"/>
          <w:sz w:val="24"/>
        </w:rPr>
        <w:t>四川铁道职业学院：</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特此声明。</w:t>
      </w:r>
    </w:p>
    <w:p>
      <w:pPr>
        <w:pStyle w:val="8"/>
        <w:rPr>
          <w:rFonts w:ascii="宋体" w:hAnsi="宋体" w:eastAsia="宋体"/>
        </w:rPr>
      </w:pP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授权代表（被授权人）签字：XXXX。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申请人名称：XXXX（单位盖章）。</w:t>
      </w:r>
    </w:p>
    <w:p>
      <w:pPr>
        <w:widowControl/>
        <w:spacing w:line="360" w:lineRule="atLeast"/>
        <w:ind w:firstLine="480" w:firstLineChars="200"/>
        <w:jc w:val="left"/>
        <w:rPr>
          <w:rFonts w:ascii="宋体" w:hAnsi="宋体" w:eastAsia="宋体"/>
          <w:sz w:val="24"/>
        </w:rPr>
      </w:pPr>
      <w:r>
        <w:rPr>
          <w:rFonts w:hint="eastAsia" w:ascii="宋体" w:hAnsi="宋体" w:eastAsia="宋体"/>
          <w:sz w:val="24"/>
        </w:rPr>
        <w:t>日    期：XXXX。</w:t>
      </w:r>
    </w:p>
    <w:p>
      <w:pPr>
        <w:widowControl/>
        <w:spacing w:line="360" w:lineRule="atLeast"/>
        <w:jc w:val="left"/>
        <w:rPr>
          <w:rFonts w:ascii="宋体" w:hAnsi="宋体" w:eastAsia="宋体"/>
          <w:b/>
          <w:sz w:val="24"/>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r>
        <w:rPr>
          <w:rFonts w:hint="eastAsia" w:ascii="宋体" w:hAnsi="宋体" w:eastAsia="宋体"/>
          <w:sz w:val="24"/>
        </w:rPr>
        <w:t>注：</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3.法定代表人/单位负责人参与比选时只须提供法定代表人/单位负责人身份证复印件。 </w:t>
      </w:r>
    </w:p>
    <w:p>
      <w:pPr>
        <w:ind w:firstLine="480" w:firstLineChars="200"/>
        <w:rPr>
          <w:rFonts w:ascii="宋体" w:hAnsi="宋体" w:eastAsia="宋体"/>
        </w:rPr>
        <w:sectPr>
          <w:headerReference r:id="rId3" w:type="default"/>
          <w:footerReference r:id="rId4" w:type="default"/>
          <w:pgSz w:w="11906" w:h="16838"/>
          <w:pgMar w:top="1440" w:right="1474" w:bottom="1440" w:left="1474" w:header="567" w:footer="992" w:gutter="0"/>
          <w:pgNumType w:start="1"/>
          <w:cols w:space="0" w:num="1"/>
          <w:docGrid w:type="lines" w:linePitch="312" w:charSpace="0"/>
        </w:sectPr>
      </w:pPr>
      <w:r>
        <w:rPr>
          <w:rFonts w:hint="eastAsia" w:ascii="宋体" w:hAnsi="宋体" w:eastAsia="宋体"/>
          <w:sz w:val="24"/>
        </w:rPr>
        <w:t>4.申请人的法定代表人/单位负责人为外籍人士的，则提供护照复印件。</w:t>
      </w:r>
    </w:p>
    <w:p>
      <w:pPr>
        <w:pStyle w:val="4"/>
        <w:spacing w:line="400" w:lineRule="exact"/>
        <w:jc w:val="center"/>
        <w:rPr>
          <w:rFonts w:ascii="宋体" w:hAnsi="宋体" w:eastAsia="宋体"/>
          <w:sz w:val="32"/>
        </w:rPr>
      </w:pPr>
      <w:r>
        <w:rPr>
          <w:rFonts w:hint="eastAsia" w:ascii="宋体" w:hAnsi="宋体" w:eastAsia="宋体"/>
          <w:sz w:val="32"/>
        </w:rPr>
        <w:t>三、承诺函</w:t>
      </w:r>
    </w:p>
    <w:p>
      <w:pPr>
        <w:widowControl/>
        <w:spacing w:line="312" w:lineRule="auto"/>
        <w:jc w:val="left"/>
        <w:rPr>
          <w:rFonts w:ascii="宋体" w:hAnsi="宋体" w:eastAsia="宋体"/>
          <w:sz w:val="24"/>
        </w:rPr>
      </w:pPr>
      <w:r>
        <w:rPr>
          <w:rFonts w:hint="eastAsia" w:ascii="宋体" w:hAnsi="宋体" w:eastAsia="宋体"/>
          <w:sz w:val="24"/>
        </w:rPr>
        <w:t>四川铁道职业学院：</w:t>
      </w:r>
    </w:p>
    <w:p>
      <w:pPr>
        <w:spacing w:line="312" w:lineRule="auto"/>
        <w:ind w:firstLine="480" w:firstLineChars="200"/>
        <w:jc w:val="left"/>
        <w:rPr>
          <w:rFonts w:ascii="宋体" w:hAnsi="宋体" w:eastAsia="宋体"/>
          <w:sz w:val="24"/>
        </w:rPr>
      </w:pPr>
      <w:r>
        <w:rPr>
          <w:rFonts w:hint="eastAsia" w:ascii="宋体" w:hAnsi="宋体" w:eastAsia="宋体"/>
          <w:sz w:val="24"/>
        </w:rPr>
        <w:t>我方全面研究了“项目名称1”比选文件（项目编号：系统生成），决定参加贵单位组织的本项目比选采购。</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（1）具有独立承担民事责任的能力；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（6）法律、行政法规规定的其他条件；</w:t>
      </w:r>
    </w:p>
    <w:p>
      <w:pPr>
        <w:widowControl/>
        <w:spacing w:line="312" w:lineRule="auto"/>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pPr>
        <w:spacing w:line="312" w:lineRule="auto"/>
        <w:ind w:firstLine="482" w:firstLineChars="200"/>
        <w:jc w:val="left"/>
        <w:rPr>
          <w:rFonts w:ascii="宋体" w:hAnsi="宋体" w:eastAsia="宋体"/>
          <w:b/>
          <w:bCs/>
          <w:sz w:val="24"/>
        </w:rPr>
      </w:pPr>
      <w:r>
        <w:rPr>
          <w:rFonts w:hint="eastAsia" w:ascii="宋体" w:hAnsi="宋体" w:eastAsia="宋体"/>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pPr>
        <w:spacing w:line="312" w:lineRule="auto"/>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pPr>
        <w:spacing w:line="312" w:lineRule="auto"/>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pPr>
        <w:spacing w:line="312" w:lineRule="auto"/>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pPr>
        <w:spacing w:line="312" w:lineRule="auto"/>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6.我方实际控制人或者中高级管理人员，不存在同时是比选人工作人员的情形。</w:t>
      </w:r>
    </w:p>
    <w:p>
      <w:pPr>
        <w:spacing w:line="312" w:lineRule="auto"/>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pPr>
        <w:spacing w:line="312" w:lineRule="auto"/>
        <w:ind w:firstLine="480" w:firstLineChars="200"/>
        <w:jc w:val="left"/>
        <w:rPr>
          <w:rFonts w:ascii="宋体" w:hAnsi="宋体" w:eastAsia="宋体"/>
          <w:sz w:val="24"/>
        </w:rPr>
      </w:pPr>
      <w:r>
        <w:rPr>
          <w:rFonts w:hint="eastAsia" w:ascii="宋体" w:hAnsi="宋体" w:eastAsia="宋体"/>
          <w:sz w:val="24"/>
        </w:rPr>
        <w:t>8.我方与比选人不存在关联关系，也不是比选人的母学校或子学校。</w:t>
      </w:r>
    </w:p>
    <w:p>
      <w:pPr>
        <w:spacing w:line="312" w:lineRule="auto"/>
        <w:ind w:firstLine="480" w:firstLineChars="200"/>
        <w:jc w:val="left"/>
        <w:rPr>
          <w:rFonts w:ascii="宋体" w:hAnsi="宋体" w:eastAsia="宋体"/>
          <w:sz w:val="24"/>
        </w:rPr>
      </w:pPr>
      <w:r>
        <w:rPr>
          <w:rFonts w:hint="eastAsia" w:ascii="宋体" w:hAnsi="宋体" w:eastAsia="宋体"/>
          <w:sz w:val="24"/>
        </w:rPr>
        <w:t>9.比选申请文件中提供的任何资料和技术、服务、商务等响应承诺情况都是真实的、有效的、合法的。</w:t>
      </w:r>
    </w:p>
    <w:p>
      <w:pPr>
        <w:spacing w:line="312" w:lineRule="auto"/>
        <w:ind w:firstLine="480" w:firstLineChars="200"/>
        <w:jc w:val="left"/>
        <w:rPr>
          <w:rFonts w:ascii="宋体" w:hAnsi="宋体" w:eastAsia="宋体"/>
          <w:sz w:val="24"/>
        </w:rPr>
      </w:pPr>
      <w:r>
        <w:rPr>
          <w:rFonts w:hint="eastAsia" w:ascii="宋体" w:hAnsi="宋体" w:eastAsia="宋体"/>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312" w:lineRule="auto"/>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pPr>
        <w:spacing w:line="312" w:lineRule="auto"/>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pPr>
        <w:spacing w:line="312" w:lineRule="auto"/>
        <w:ind w:firstLine="480" w:firstLineChars="200"/>
        <w:jc w:val="left"/>
        <w:rPr>
          <w:rFonts w:ascii="宋体" w:hAnsi="宋体" w:eastAsia="宋体"/>
          <w:sz w:val="24"/>
        </w:rPr>
      </w:pPr>
      <w:r>
        <w:rPr>
          <w:rFonts w:hint="eastAsia" w:ascii="宋体" w:hAnsi="宋体" w:eastAsia="宋体"/>
          <w:sz w:val="24"/>
        </w:rPr>
        <w:t>13.我方自愿按照比选文件规定的各项要求向比选人提供所需货物和服务。</w:t>
      </w:r>
    </w:p>
    <w:p>
      <w:pPr>
        <w:spacing w:line="312" w:lineRule="auto"/>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pPr>
        <w:spacing w:line="312" w:lineRule="auto"/>
        <w:ind w:firstLine="480" w:firstLineChars="200"/>
        <w:jc w:val="left"/>
        <w:rPr>
          <w:rFonts w:ascii="宋体" w:hAnsi="宋体" w:eastAsia="宋体"/>
          <w:sz w:val="24"/>
        </w:rPr>
      </w:pPr>
      <w:r>
        <w:rPr>
          <w:rFonts w:hint="eastAsia" w:ascii="宋体" w:hAnsi="宋体" w:eastAsia="宋体"/>
          <w:sz w:val="24"/>
        </w:rPr>
        <w:t>15.我方愿意提供贵单位可能另外要求的，与比选报价有关的文件资料，并保证我方已提供和将要提供的文件资料是真实、准确的。</w:t>
      </w:r>
    </w:p>
    <w:p>
      <w:pPr>
        <w:spacing w:line="312" w:lineRule="auto"/>
        <w:ind w:firstLine="480" w:firstLineChars="200"/>
        <w:jc w:val="left"/>
        <w:rPr>
          <w:rFonts w:ascii="宋体" w:hAnsi="宋体" w:eastAsia="宋体"/>
          <w:sz w:val="24"/>
        </w:rPr>
      </w:pPr>
      <w:r>
        <w:rPr>
          <w:rFonts w:hint="eastAsia" w:ascii="宋体" w:hAnsi="宋体" w:eastAsia="宋体"/>
          <w:sz w:val="24"/>
        </w:rPr>
        <w:t>16.我方接受比选人按照采购合同约定金额支付采购资金，报价以比选申请文件为准。</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pPr>
        <w:pStyle w:val="5"/>
        <w:spacing w:line="312" w:lineRule="auto"/>
        <w:rPr>
          <w:rFonts w:ascii="宋体" w:hAnsi="宋体" w:eastAsia="宋体"/>
        </w:rPr>
      </w:pPr>
    </w:p>
    <w:p>
      <w:pPr>
        <w:widowControl/>
        <w:spacing w:line="312" w:lineRule="auto"/>
        <w:ind w:firstLine="470" w:firstLineChars="196"/>
        <w:jc w:val="left"/>
        <w:rPr>
          <w:rFonts w:ascii="宋体" w:hAnsi="宋体" w:eastAsia="宋体"/>
          <w:sz w:val="24"/>
        </w:rPr>
      </w:pPr>
      <w:r>
        <w:rPr>
          <w:rFonts w:hint="eastAsia" w:ascii="宋体" w:hAnsi="宋体" w:eastAsia="宋体"/>
          <w:sz w:val="24"/>
        </w:rPr>
        <w:t>申请人名称：XXXX（单位公章）</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日    期：XXXX。</w:t>
      </w:r>
    </w:p>
    <w:p>
      <w:pPr>
        <w:rPr>
          <w:rFonts w:ascii="宋体" w:hAnsi="宋体" w:eastAsia="宋体"/>
        </w:rPr>
      </w:pPr>
      <w:r>
        <w:rPr>
          <w:rFonts w:ascii="宋体" w:hAnsi="宋体" w:eastAsia="宋体"/>
        </w:rPr>
        <w:br w:type="page"/>
      </w:r>
    </w:p>
    <w:p>
      <w:pPr>
        <w:pStyle w:val="4"/>
        <w:spacing w:line="400" w:lineRule="exact"/>
        <w:jc w:val="center"/>
        <w:rPr>
          <w:rFonts w:ascii="宋体" w:hAnsi="宋体" w:eastAsia="宋体"/>
          <w:sz w:val="32"/>
        </w:rPr>
      </w:pPr>
      <w:bookmarkStart w:id="29" w:name="_Toc217446088"/>
      <w:r>
        <w:rPr>
          <w:rFonts w:hint="eastAsia" w:ascii="宋体" w:hAnsi="宋体" w:eastAsia="宋体"/>
          <w:sz w:val="32"/>
        </w:rPr>
        <w:t>四、申请人基本情况表</w:t>
      </w:r>
      <w:bookmarkEnd w:id="29"/>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pPr>
              <w:autoSpaceDE w:val="0"/>
              <w:autoSpaceDN w:val="0"/>
              <w:adjustRightInd w:val="0"/>
              <w:jc w:val="center"/>
              <w:rPr>
                <w:rFonts w:ascii="宋体" w:hAnsi="宋体" w:eastAsia="宋体"/>
                <w:szCs w:val="21"/>
              </w:rPr>
            </w:pPr>
          </w:p>
        </w:tc>
        <w:tc>
          <w:tcPr>
            <w:tcW w:w="132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pPr>
              <w:autoSpaceDE w:val="0"/>
              <w:autoSpaceDN w:val="0"/>
              <w:adjustRightInd w:val="0"/>
              <w:jc w:val="center"/>
              <w:rPr>
                <w:rFonts w:ascii="宋体" w:hAnsi="宋体" w:eastAsia="宋体"/>
                <w:szCs w:val="21"/>
              </w:rPr>
            </w:pP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pPr>
              <w:autoSpaceDE w:val="0"/>
              <w:autoSpaceDN w:val="0"/>
              <w:adjustRightInd w:val="0"/>
              <w:jc w:val="center"/>
              <w:rPr>
                <w:rFonts w:ascii="宋体" w:hAnsi="宋体" w:eastAsia="宋体"/>
                <w:szCs w:val="21"/>
              </w:rPr>
            </w:pPr>
          </w:p>
        </w:tc>
        <w:tc>
          <w:tcPr>
            <w:tcW w:w="4841" w:type="dxa"/>
            <w:gridSpan w:val="6"/>
            <w:vAlign w:val="center"/>
          </w:tcPr>
          <w:p>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pPr>
              <w:autoSpaceDE w:val="0"/>
              <w:autoSpaceDN w:val="0"/>
              <w:adjustRightInd w:val="0"/>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pPr>
              <w:autoSpaceDE w:val="0"/>
              <w:autoSpaceDN w:val="0"/>
              <w:adjustRightInd w:val="0"/>
              <w:jc w:val="left"/>
              <w:rPr>
                <w:rFonts w:ascii="宋体" w:hAnsi="宋体" w:eastAsia="宋体"/>
                <w:szCs w:val="21"/>
              </w:rPr>
            </w:pPr>
          </w:p>
        </w:tc>
      </w:tr>
    </w:tbl>
    <w:p>
      <w:pPr>
        <w:adjustRightInd w:val="0"/>
        <w:spacing w:line="400" w:lineRule="exact"/>
        <w:ind w:firstLine="420" w:firstLineChars="175"/>
        <w:jc w:val="left"/>
        <w:rPr>
          <w:rFonts w:ascii="宋体" w:hAnsi="宋体" w:eastAsia="宋体"/>
          <w:sz w:val="24"/>
        </w:rPr>
      </w:pP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申请人名称：XXXX（单位公章）</w:t>
      </w: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pPr>
        <w:adjustRightInd w:val="0"/>
        <w:spacing w:line="400" w:lineRule="exact"/>
        <w:ind w:firstLine="420" w:firstLineChars="175"/>
        <w:jc w:val="left"/>
        <w:rPr>
          <w:rFonts w:ascii="宋体" w:hAnsi="宋体" w:eastAsia="宋体"/>
          <w:b/>
          <w:sz w:val="24"/>
        </w:rPr>
      </w:pPr>
      <w:r>
        <w:rPr>
          <w:rFonts w:hint="eastAsia" w:ascii="宋体" w:hAnsi="宋体" w:eastAsia="宋体"/>
          <w:sz w:val="24"/>
        </w:rPr>
        <w:t>日期：</w:t>
      </w:r>
    </w:p>
    <w:p>
      <w:pPr>
        <w:rPr>
          <w:rFonts w:ascii="宋体" w:hAnsi="宋体" w:eastAsia="宋体"/>
        </w:rPr>
      </w:pPr>
      <w:r>
        <w:rPr>
          <w:rFonts w:ascii="宋体" w:hAnsi="宋体" w:eastAsia="宋体"/>
        </w:rPr>
        <w:br w:type="page"/>
      </w:r>
    </w:p>
    <w:p>
      <w:pPr>
        <w:pStyle w:val="4"/>
        <w:spacing w:line="400" w:lineRule="exact"/>
        <w:jc w:val="center"/>
        <w:rPr>
          <w:rFonts w:ascii="宋体" w:hAnsi="宋体" w:eastAsia="宋体"/>
          <w:sz w:val="32"/>
        </w:rPr>
      </w:pPr>
      <w:bookmarkStart w:id="30" w:name="_Toc217446089"/>
      <w:r>
        <w:rPr>
          <w:rFonts w:hint="eastAsia" w:ascii="宋体" w:hAnsi="宋体" w:eastAsia="宋体"/>
          <w:sz w:val="32"/>
        </w:rPr>
        <w:t>五、申请人类似项目业绩一览表</w:t>
      </w:r>
      <w:bookmarkEnd w:id="30"/>
    </w:p>
    <w:p>
      <w:pPr>
        <w:spacing w:line="400" w:lineRule="exact"/>
        <w:rPr>
          <w:rFonts w:ascii="宋体" w:hAnsi="宋体" w:eastAsia="宋体" w:cs="Arial"/>
          <w:sz w:val="24"/>
        </w:rPr>
      </w:pPr>
    </w:p>
    <w:tbl>
      <w:tblPr>
        <w:tblStyle w:val="18"/>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bl>
    <w:p>
      <w:pPr>
        <w:rPr>
          <w:rFonts w:ascii="宋体" w:hAnsi="宋体" w:eastAsia="宋体"/>
        </w:rPr>
      </w:pPr>
      <w:r>
        <w:rPr>
          <w:rFonts w:ascii="宋体" w:hAnsi="宋体" w:eastAsia="宋体"/>
        </w:rPr>
        <w:br w:type="page"/>
      </w:r>
    </w:p>
    <w:p>
      <w:pPr>
        <w:pStyle w:val="4"/>
        <w:spacing w:line="400" w:lineRule="exact"/>
        <w:jc w:val="center"/>
        <w:rPr>
          <w:rFonts w:ascii="宋体" w:hAnsi="宋体" w:eastAsia="宋体"/>
          <w:sz w:val="32"/>
        </w:rPr>
      </w:pPr>
      <w:r>
        <w:rPr>
          <w:rFonts w:hint="eastAsia" w:ascii="宋体" w:hAnsi="宋体" w:eastAsia="宋体"/>
          <w:sz w:val="32"/>
        </w:rPr>
        <w:t>六、技术参数要求响应情况表</w:t>
      </w:r>
    </w:p>
    <w:p>
      <w:pPr>
        <w:rPr>
          <w:rFonts w:ascii="宋体" w:hAnsi="宋体" w:eastAsia="宋体"/>
        </w:rPr>
      </w:pPr>
    </w:p>
    <w:tbl>
      <w:tblPr>
        <w:tblStyle w:val="18"/>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3180"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515"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spacing w:line="360" w:lineRule="auto"/>
              <w:jc w:val="center"/>
              <w:rPr>
                <w:rFonts w:ascii="宋体" w:hAnsi="宋体" w:eastAsia="宋体" w:cs="仿宋"/>
                <w:sz w:val="21"/>
                <w:szCs w:val="21"/>
              </w:rPr>
            </w:pPr>
          </w:p>
        </w:tc>
        <w:tc>
          <w:tcPr>
            <w:tcW w:w="3180" w:type="dxa"/>
            <w:vAlign w:val="center"/>
          </w:tcPr>
          <w:p>
            <w:pPr>
              <w:pStyle w:val="38"/>
              <w:spacing w:line="360" w:lineRule="auto"/>
              <w:jc w:val="center"/>
              <w:rPr>
                <w:rFonts w:ascii="宋体" w:hAnsi="宋体" w:eastAsia="宋体" w:cs="仿宋"/>
                <w:sz w:val="21"/>
                <w:szCs w:val="21"/>
              </w:rPr>
            </w:pPr>
          </w:p>
        </w:tc>
        <w:tc>
          <w:tcPr>
            <w:tcW w:w="2515" w:type="dxa"/>
            <w:vAlign w:val="center"/>
          </w:tcPr>
          <w:p>
            <w:pPr>
              <w:pStyle w:val="38"/>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bl>
    <w:p>
      <w:pPr>
        <w:ind w:firstLine="482" w:firstLineChars="200"/>
        <w:rPr>
          <w:rFonts w:ascii="宋体" w:hAnsi="宋体" w:eastAsia="宋体"/>
          <w:b/>
          <w:sz w:val="24"/>
        </w:rPr>
      </w:pPr>
    </w:p>
    <w:p>
      <w:pPr>
        <w:spacing w:line="520" w:lineRule="exact"/>
        <w:ind w:firstLine="482" w:firstLineChars="200"/>
        <w:rPr>
          <w:rFonts w:ascii="宋体" w:hAnsi="宋体" w:eastAsia="宋体"/>
          <w:b/>
          <w:bCs/>
          <w:sz w:val="24"/>
        </w:rPr>
      </w:pPr>
      <w:r>
        <w:rPr>
          <w:rFonts w:hint="eastAsia" w:ascii="宋体" w:hAnsi="宋体" w:eastAsia="宋体"/>
          <w:b/>
          <w:bCs/>
          <w:sz w:val="24"/>
        </w:rPr>
        <w:t>注：申请人按照比选文件“第四章”“技术参数要求”的全部逐项梳理填写本表。</w:t>
      </w:r>
    </w:p>
    <w:p>
      <w:pPr>
        <w:adjustRightInd w:val="0"/>
        <w:spacing w:line="400" w:lineRule="exact"/>
        <w:ind w:firstLine="480" w:firstLineChars="200"/>
        <w:jc w:val="left"/>
        <w:rPr>
          <w:rFonts w:ascii="宋体" w:hAnsi="宋体" w:eastAsia="宋体"/>
          <w:sz w:val="24"/>
        </w:rPr>
      </w:pPr>
    </w:p>
    <w:p>
      <w:pPr>
        <w:adjustRightInd w:val="0"/>
        <w:spacing w:line="40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40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pStyle w:val="8"/>
        <w:ind w:firstLine="480" w:firstLineChars="200"/>
        <w:rPr>
          <w:rFonts w:ascii="宋体" w:hAnsi="宋体" w:eastAsia="宋体"/>
          <w:bCs/>
          <w:sz w:val="24"/>
        </w:rPr>
      </w:pPr>
      <w:r>
        <w:rPr>
          <w:rFonts w:hint="eastAsia" w:ascii="宋体" w:hAnsi="宋体" w:eastAsia="宋体"/>
          <w:bCs/>
          <w:sz w:val="24"/>
        </w:rPr>
        <w:t>日期</w:t>
      </w:r>
      <w:r>
        <w:rPr>
          <w:rFonts w:hint="eastAsia" w:ascii="宋体" w:hAnsi="宋体" w:eastAsia="宋体"/>
          <w:sz w:val="24"/>
        </w:rPr>
        <w:t>：</w:t>
      </w:r>
      <w:r>
        <w:rPr>
          <w:rFonts w:hint="eastAsia" w:ascii="宋体" w:hAnsi="宋体" w:eastAsia="宋体"/>
          <w:bCs/>
          <w:sz w:val="24"/>
        </w:rPr>
        <w:t>XXX年XXX月XXX日</w:t>
      </w:r>
    </w:p>
    <w:p>
      <w:pPr>
        <w:rPr>
          <w:rFonts w:ascii="宋体" w:hAnsi="宋体" w:eastAsia="宋体"/>
          <w:bCs/>
          <w:sz w:val="24"/>
        </w:rPr>
      </w:pPr>
      <w:r>
        <w:rPr>
          <w:rFonts w:hint="eastAsia" w:ascii="宋体" w:hAnsi="宋体" w:eastAsia="宋体"/>
          <w:bCs/>
          <w:sz w:val="24"/>
        </w:rPr>
        <w:br w:type="page"/>
      </w:r>
    </w:p>
    <w:p>
      <w:pPr>
        <w:pStyle w:val="4"/>
        <w:spacing w:line="400" w:lineRule="exact"/>
        <w:jc w:val="center"/>
        <w:rPr>
          <w:rFonts w:ascii="宋体" w:hAnsi="宋体" w:eastAsia="宋体"/>
          <w:sz w:val="32"/>
        </w:rPr>
      </w:pPr>
      <w:r>
        <w:rPr>
          <w:rFonts w:hint="eastAsia" w:ascii="宋体" w:hAnsi="宋体" w:eastAsia="宋体"/>
          <w:sz w:val="32"/>
        </w:rPr>
        <w:t>七、商务应答表</w:t>
      </w:r>
    </w:p>
    <w:tbl>
      <w:tblPr>
        <w:tblStyle w:val="18"/>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3689"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2263"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263"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spacing w:line="360" w:lineRule="auto"/>
              <w:jc w:val="center"/>
              <w:rPr>
                <w:rFonts w:ascii="宋体" w:hAnsi="宋体" w:eastAsia="宋体" w:cs="仿宋"/>
                <w:sz w:val="21"/>
                <w:szCs w:val="21"/>
              </w:rPr>
            </w:pPr>
          </w:p>
        </w:tc>
        <w:tc>
          <w:tcPr>
            <w:tcW w:w="2263" w:type="dxa"/>
            <w:vAlign w:val="center"/>
          </w:tcPr>
          <w:p>
            <w:pPr>
              <w:pStyle w:val="38"/>
              <w:spacing w:line="360" w:lineRule="auto"/>
              <w:jc w:val="center"/>
              <w:rPr>
                <w:rFonts w:ascii="宋体" w:hAnsi="宋体" w:eastAsia="宋体" w:cs="仿宋"/>
                <w:sz w:val="21"/>
                <w:szCs w:val="21"/>
              </w:rPr>
            </w:pPr>
          </w:p>
        </w:tc>
        <w:tc>
          <w:tcPr>
            <w:tcW w:w="2263" w:type="dxa"/>
            <w:vAlign w:val="center"/>
          </w:tcPr>
          <w:p>
            <w:pPr>
              <w:pStyle w:val="38"/>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bl>
    <w:p>
      <w:pPr>
        <w:spacing w:line="560" w:lineRule="exact"/>
        <w:ind w:firstLine="482" w:firstLineChars="200"/>
        <w:rPr>
          <w:rFonts w:ascii="宋体" w:hAnsi="宋体" w:eastAsia="宋体"/>
          <w:b/>
          <w:bCs/>
          <w:sz w:val="24"/>
        </w:rPr>
      </w:pPr>
      <w:r>
        <w:rPr>
          <w:rFonts w:hint="eastAsia" w:ascii="宋体" w:hAnsi="宋体" w:eastAsia="宋体"/>
          <w:b/>
          <w:bCs/>
          <w:sz w:val="24"/>
        </w:rPr>
        <w:t>注：申请人按照比选文件“第四章”“商务要求”的全部逐项梳理填写本表。</w:t>
      </w:r>
    </w:p>
    <w:p>
      <w:pPr>
        <w:adjustRightInd w:val="0"/>
        <w:spacing w:line="560" w:lineRule="exact"/>
        <w:ind w:firstLine="480" w:firstLineChars="200"/>
        <w:jc w:val="left"/>
        <w:rPr>
          <w:rFonts w:ascii="宋体" w:hAnsi="宋体" w:eastAsia="宋体"/>
          <w:sz w:val="24"/>
        </w:rPr>
      </w:pPr>
    </w:p>
    <w:p>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pPr>
        <w:spacing w:line="560" w:lineRule="exact"/>
        <w:ind w:firstLine="200"/>
        <w:rPr>
          <w:rFonts w:ascii="宋体" w:hAnsi="宋体" w:eastAsia="宋体"/>
          <w:bCs/>
          <w:sz w:val="24"/>
        </w:rPr>
      </w:pPr>
      <w:r>
        <w:rPr>
          <w:rFonts w:hint="eastAsia" w:ascii="宋体" w:hAnsi="宋体" w:eastAsia="宋体"/>
          <w:bCs/>
          <w:sz w:val="24"/>
        </w:rPr>
        <w:br w:type="page"/>
      </w:r>
    </w:p>
    <w:p>
      <w:pPr>
        <w:pStyle w:val="4"/>
        <w:spacing w:line="400" w:lineRule="exact"/>
        <w:jc w:val="center"/>
        <w:rPr>
          <w:rFonts w:ascii="宋体" w:hAnsi="宋体" w:eastAsia="宋体"/>
          <w:sz w:val="32"/>
        </w:rPr>
      </w:pPr>
      <w:r>
        <w:rPr>
          <w:rFonts w:hint="eastAsia" w:ascii="宋体" w:hAnsi="宋体" w:eastAsia="宋体"/>
          <w:sz w:val="32"/>
        </w:rPr>
        <w:t xml:space="preserve">八、报价一览表 </w:t>
      </w:r>
    </w:p>
    <w:p>
      <w:pPr>
        <w:rPr>
          <w:rFonts w:ascii="宋体" w:hAnsi="宋体" w:eastAsia="宋体" w:cs="仿宋"/>
          <w:sz w:val="24"/>
          <w:szCs w:val="24"/>
        </w:rPr>
      </w:pPr>
    </w:p>
    <w:p>
      <w:pPr>
        <w:rPr>
          <w:rFonts w:ascii="宋体" w:hAnsi="宋体" w:eastAsia="宋体" w:cs="仿宋"/>
          <w:sz w:val="24"/>
          <w:szCs w:val="24"/>
        </w:rPr>
      </w:pPr>
    </w:p>
    <w:p>
      <w:pPr>
        <w:rPr>
          <w:rFonts w:ascii="宋体" w:hAnsi="宋体" w:eastAsia="宋体" w:cs="仿宋"/>
          <w:sz w:val="24"/>
          <w:szCs w:val="24"/>
        </w:rPr>
      </w:pPr>
      <w:r>
        <w:rPr>
          <w:rFonts w:hint="eastAsia" w:ascii="宋体" w:hAnsi="宋体" w:eastAsia="宋体" w:cs="仿宋"/>
          <w:sz w:val="24"/>
          <w:szCs w:val="24"/>
        </w:rPr>
        <w:t xml:space="preserve">项目名称：                                                                          </w:t>
      </w:r>
    </w:p>
    <w:p>
      <w:pPr>
        <w:rPr>
          <w:rFonts w:ascii="宋体" w:hAnsi="宋体" w:eastAsia="宋体" w:cs="仿宋"/>
          <w:sz w:val="24"/>
          <w:szCs w:val="24"/>
        </w:rPr>
      </w:pPr>
      <w:r>
        <w:rPr>
          <w:rFonts w:hint="eastAsia" w:ascii="宋体" w:hAnsi="宋体" w:eastAsia="宋体" w:cs="仿宋"/>
          <w:sz w:val="24"/>
          <w:szCs w:val="24"/>
        </w:rPr>
        <w:t>项目编号：</w:t>
      </w:r>
    </w:p>
    <w:p>
      <w:pPr>
        <w:rPr>
          <w:rFonts w:ascii="宋体" w:hAnsi="宋体" w:eastAsia="宋体" w:cs="仿宋"/>
          <w:sz w:val="24"/>
          <w:szCs w:val="24"/>
        </w:rPr>
      </w:pPr>
      <w:r>
        <w:rPr>
          <w:rFonts w:hint="eastAsia" w:ascii="宋体" w:hAnsi="宋体" w:eastAsia="宋体" w:cs="仿宋"/>
          <w:sz w:val="24"/>
          <w:szCs w:val="24"/>
        </w:rPr>
        <w:t>包号：</w:t>
      </w:r>
    </w:p>
    <w:p>
      <w:pPr>
        <w:rPr>
          <w:rFonts w:ascii="宋体" w:hAnsi="宋体" w:eastAsia="宋体"/>
        </w:rPr>
      </w:pPr>
    </w:p>
    <w:p>
      <w:pPr>
        <w:adjustRightInd w:val="0"/>
        <w:snapToGrid w:val="0"/>
        <w:spacing w:line="276" w:lineRule="auto"/>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color w:val="000000"/>
          <w:kern w:val="0"/>
          <w:sz w:val="24"/>
        </w:rPr>
        <w:t>（加盖公章）</w:t>
      </w:r>
      <w:r>
        <w:rPr>
          <w:rFonts w:hint="eastAsia" w:ascii="宋体" w:hAnsi="宋体" w:eastAsia="宋体" w:cs="华文仿宋"/>
          <w:sz w:val="24"/>
        </w:rPr>
        <w:t>：</w:t>
      </w:r>
    </w:p>
    <w:p>
      <w:pPr>
        <w:jc w:val="left"/>
        <w:rPr>
          <w:rFonts w:ascii="宋体" w:hAnsi="宋体" w:eastAsia="宋体"/>
          <w:sz w:val="24"/>
        </w:rPr>
      </w:pPr>
      <w:r>
        <w:rPr>
          <w:rFonts w:hint="eastAsia" w:ascii="宋体" w:hAnsi="宋体" w:eastAsia="宋体"/>
          <w:sz w:val="24"/>
        </w:rPr>
        <w:t>法定代表人/单位负责人或授权代表（签字或加盖个人印章）：XXXX</w:t>
      </w:r>
    </w:p>
    <w:p>
      <w:pPr>
        <w:pStyle w:val="8"/>
        <w:rPr>
          <w:rFonts w:ascii="宋体" w:hAnsi="宋体" w:eastAsia="宋体"/>
          <w:sz w:val="24"/>
        </w:rPr>
      </w:pPr>
      <w:r>
        <w:rPr>
          <w:rFonts w:hint="eastAsia" w:ascii="宋体" w:hAnsi="宋体" w:eastAsia="宋体"/>
          <w:sz w:val="24"/>
        </w:rPr>
        <w:t>日期：XXXX</w:t>
      </w:r>
    </w:p>
    <w:p>
      <w:pPr>
        <w:rPr>
          <w:rFonts w:ascii="宋体" w:hAnsi="宋体" w:eastAsia="宋体"/>
          <w:sz w:val="24"/>
        </w:rPr>
      </w:pPr>
      <w:r>
        <w:rPr>
          <w:rFonts w:hint="eastAsia" w:ascii="宋体" w:hAnsi="宋体" w:eastAsia="宋体"/>
          <w:sz w:val="24"/>
        </w:rPr>
        <w:br w:type="page"/>
      </w:r>
    </w:p>
    <w:p>
      <w:pPr>
        <w:pStyle w:val="4"/>
        <w:pageBreakBefore/>
        <w:spacing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pPr>
        <w:ind w:firstLine="562" w:firstLineChars="200"/>
        <w:rPr>
          <w:rFonts w:ascii="宋体" w:hAnsi="宋体" w:eastAsia="宋体"/>
          <w:b/>
          <w:sz w:val="28"/>
          <w:szCs w:val="28"/>
        </w:rPr>
      </w:pPr>
    </w:p>
    <w:p>
      <w:pPr>
        <w:ind w:firstLine="562" w:firstLineChars="200"/>
        <w:rPr>
          <w:rFonts w:ascii="宋体" w:hAnsi="宋体" w:eastAsia="宋体"/>
          <w:b/>
          <w:sz w:val="28"/>
          <w:szCs w:val="28"/>
        </w:rPr>
      </w:pPr>
      <w:r>
        <w:rPr>
          <w:rFonts w:hint="eastAsia" w:ascii="宋体" w:hAnsi="宋体" w:eastAsia="宋体"/>
          <w:b/>
          <w:sz w:val="28"/>
          <w:szCs w:val="28"/>
        </w:rPr>
        <w:t>针对比选文件的要求，申请人认为需要提供的其它资料。例如特殊资格条件证明材料等等</w:t>
      </w:r>
    </w:p>
    <w:p>
      <w:pPr>
        <w:jc w:val="center"/>
        <w:rPr>
          <w:rFonts w:ascii="宋体" w:hAnsi="宋体" w:eastAsia="宋体"/>
          <w:b/>
          <w:sz w:val="28"/>
          <w:szCs w:val="28"/>
        </w:rPr>
      </w:pPr>
    </w:p>
    <w:p>
      <w:pPr>
        <w:jc w:val="center"/>
        <w:rPr>
          <w:rFonts w:ascii="宋体" w:hAnsi="宋体" w:eastAsia="宋体"/>
          <w:b/>
          <w:sz w:val="28"/>
          <w:szCs w:val="28"/>
        </w:rPr>
      </w:pPr>
      <w:r>
        <w:rPr>
          <w:rFonts w:hint="eastAsia" w:ascii="宋体" w:hAnsi="宋体" w:eastAsia="宋体"/>
          <w:b/>
          <w:sz w:val="28"/>
          <w:szCs w:val="28"/>
        </w:rPr>
        <w:t>（格式自拟）</w:t>
      </w:r>
    </w:p>
    <w:p>
      <w:pPr>
        <w:rPr>
          <w:rFonts w:ascii="宋体" w:hAnsi="宋体" w:eastAsia="宋体"/>
        </w:rPr>
      </w:pPr>
      <w:r>
        <w:rPr>
          <w:rFonts w:ascii="宋体" w:hAnsi="宋体" w:eastAsia="宋体"/>
        </w:rPr>
        <w:br w:type="page"/>
      </w:r>
    </w:p>
    <w:p>
      <w:pPr>
        <w:pStyle w:val="3"/>
        <w:numPr>
          <w:ilvl w:val="0"/>
          <w:numId w:val="5"/>
        </w:numPr>
        <w:spacing w:before="0" w:after="0" w:line="240" w:lineRule="auto"/>
        <w:jc w:val="center"/>
        <w:rPr>
          <w:rFonts w:hint="eastAsia" w:ascii="宋体" w:hAnsi="宋体" w:eastAsia="宋体"/>
          <w:color w:val="000000"/>
          <w:sz w:val="36"/>
          <w:szCs w:val="36"/>
        </w:rPr>
      </w:pPr>
      <w:bookmarkStart w:id="31" w:name="_Toc26179"/>
      <w:bookmarkStart w:id="32" w:name="_Toc31585"/>
      <w:bookmarkStart w:id="33" w:name="_Toc13707"/>
      <w:r>
        <w:rPr>
          <w:rFonts w:hint="eastAsia" w:ascii="宋体" w:hAnsi="宋体" w:eastAsia="宋体"/>
          <w:color w:val="000000"/>
          <w:sz w:val="36"/>
          <w:szCs w:val="36"/>
        </w:rPr>
        <w:t>采购合同条款（草案）</w:t>
      </w:r>
      <w:bookmarkEnd w:id="31"/>
      <w:bookmarkEnd w:id="32"/>
      <w:bookmarkEnd w:id="33"/>
    </w:p>
    <w:p>
      <w:pPr>
        <w:numPr>
          <w:ilvl w:val="0"/>
          <w:numId w:val="0"/>
        </w:numPr>
        <w:rPr>
          <w:rFonts w:hint="default" w:eastAsiaTheme="minorEastAsia"/>
          <w:lang w:val="en-US" w:eastAsia="zh-CN"/>
        </w:rPr>
      </w:pPr>
      <w:r>
        <w:rPr>
          <w:rFonts w:hint="eastAsia"/>
          <w:lang w:val="en-US" w:eastAsia="zh-CN"/>
        </w:rPr>
        <w:t xml:space="preserve">                                 双方协商签订</w:t>
      </w:r>
    </w:p>
    <w:sectPr>
      <w:headerReference r:id="rId5" w:type="default"/>
      <w:pgSz w:w="11906" w:h="16838"/>
      <w:pgMar w:top="1701" w:right="1474" w:bottom="1440" w:left="158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3D31CA2-8DC2-4760-B01A-C7635D76403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embedRegular r:id="rId2" w:fontKey="{11F7B4BE-863A-4D77-AE31-4A3900041EEE}"/>
  </w:font>
  <w:font w:name="Arial Unicode MS">
    <w:panose1 w:val="020B0604020202020204"/>
    <w:charset w:val="86"/>
    <w:family w:val="auto"/>
    <w:pitch w:val="default"/>
    <w:sig w:usb0="FFFFFFFF" w:usb1="E9FFFFFF" w:usb2="0000003F" w:usb3="00000000" w:csb0="603F01FF" w:csb1="FFFF0000"/>
  </w:font>
  <w:font w:name="Mangal">
    <w:panose1 w:val="02040503050203030202"/>
    <w:charset w:val="01"/>
    <w:family w:val="roman"/>
    <w:pitch w:val="default"/>
    <w:sig w:usb0="00008003"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embedRegular r:id="rId3" w:fontKey="{9A90EE02-24C1-4ACB-98EA-AF9A09BDA4F3}"/>
  </w:font>
  <w:font w:name="微软雅黑">
    <w:panose1 w:val="020B0503020204020204"/>
    <w:charset w:val="86"/>
    <w:family w:val="swiss"/>
    <w:pitch w:val="default"/>
    <w:sig w:usb0="80000287" w:usb1="280F3C52" w:usb2="00000016" w:usb3="00000000" w:csb0="0004001F" w:csb1="00000000"/>
    <w:embedRegular r:id="rId4" w:fontKey="{5F8E2FDA-C1B7-4953-8A95-B8284C489A8E}"/>
  </w:font>
  <w:font w:name="PMingLiU">
    <w:panose1 w:val="02020500000000000000"/>
    <w:charset w:val="88"/>
    <w:family w:val="roman"/>
    <w:pitch w:val="default"/>
    <w:sig w:usb0="A00002FF" w:usb1="28CFFCFA" w:usb2="00000016" w:usb3="00000000" w:csb0="00100001" w:csb1="00000000"/>
    <w:embedRegular r:id="rId5" w:fontKey="{C92158C6-0F05-4BD5-9F04-9381A8117E3E}"/>
  </w:font>
  <w:font w:name="华文仿宋">
    <w:panose1 w:val="02010600040101010101"/>
    <w:charset w:val="86"/>
    <w:family w:val="auto"/>
    <w:pitch w:val="default"/>
    <w:sig w:usb0="00000287" w:usb1="080F0000" w:usb2="00000000" w:usb3="00000000" w:csb0="0004009F" w:csb1="DFD70000"/>
    <w:embedRegular r:id="rId6" w:fontKey="{45B436B8-2B7C-4870-9875-15DC7E05BB58}"/>
  </w:font>
  <w:font w:name="等线">
    <w:altName w:val="Arial Unicode MS"/>
    <w:panose1 w:val="00000000000000000000"/>
    <w:charset w:val="00"/>
    <w:family w:val="auto"/>
    <w:pitch w:val="default"/>
    <w:sig w:usb0="00000000" w:usb1="00000000" w:usb2="00000000" w:usb3="00000000" w:csb0="00000000" w:csb1="00000000"/>
    <w:embedRegular r:id="rId7" w:fontKey="{9A331AF2-05FD-4EAB-BED9-2FC67D7687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A4982B"/>
    <w:multiLevelType w:val="singleLevel"/>
    <w:tmpl w:val="9EA4982B"/>
    <w:lvl w:ilvl="0" w:tentative="0">
      <w:start w:val="7"/>
      <w:numFmt w:val="chineseCounting"/>
      <w:suff w:val="space"/>
      <w:lvlText w:val="第%1章"/>
      <w:lvlJc w:val="left"/>
      <w:rPr>
        <w:rFonts w:hint="eastAsia"/>
      </w:rPr>
    </w:lvl>
  </w:abstractNum>
  <w:abstractNum w:abstractNumId="1">
    <w:nsid w:val="10289B0C"/>
    <w:multiLevelType w:val="singleLevel"/>
    <w:tmpl w:val="10289B0C"/>
    <w:lvl w:ilvl="0" w:tentative="0">
      <w:start w:val="1"/>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5A4FD20"/>
    <w:multiLevelType w:val="singleLevel"/>
    <w:tmpl w:val="55A4FD20"/>
    <w:lvl w:ilvl="0" w:tentative="0">
      <w:start w:val="8"/>
      <w:numFmt w:val="chineseCounting"/>
      <w:suff w:val="nothing"/>
      <w:lvlText w:val="%1、"/>
      <w:lvlJc w:val="left"/>
      <w:rPr>
        <w:rFonts w:hint="eastAsia"/>
      </w:rPr>
    </w:lvl>
  </w:abstractNum>
  <w:abstractNum w:abstractNumId="4">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MDdiNTczMDY5YzkyODlhZjc3MmVlMzFhZTAyZTgifQ=="/>
  </w:docVars>
  <w:rsids>
    <w:rsidRoot w:val="00CD5AE8"/>
    <w:rsid w:val="00004412"/>
    <w:rsid w:val="000432F2"/>
    <w:rsid w:val="00060E70"/>
    <w:rsid w:val="00067298"/>
    <w:rsid w:val="00083F9E"/>
    <w:rsid w:val="000A3154"/>
    <w:rsid w:val="000B07A6"/>
    <w:rsid w:val="00113EB3"/>
    <w:rsid w:val="00161120"/>
    <w:rsid w:val="001802E8"/>
    <w:rsid w:val="001C1FFC"/>
    <w:rsid w:val="001D075C"/>
    <w:rsid w:val="001D5AF5"/>
    <w:rsid w:val="0024094B"/>
    <w:rsid w:val="002503E2"/>
    <w:rsid w:val="002623F4"/>
    <w:rsid w:val="002F6A92"/>
    <w:rsid w:val="00324A0A"/>
    <w:rsid w:val="003569BD"/>
    <w:rsid w:val="00357EDC"/>
    <w:rsid w:val="003738CF"/>
    <w:rsid w:val="003834B9"/>
    <w:rsid w:val="003E3E28"/>
    <w:rsid w:val="00401650"/>
    <w:rsid w:val="004318DE"/>
    <w:rsid w:val="00440DEA"/>
    <w:rsid w:val="004E4695"/>
    <w:rsid w:val="004F5587"/>
    <w:rsid w:val="00505F07"/>
    <w:rsid w:val="00542BBB"/>
    <w:rsid w:val="00563636"/>
    <w:rsid w:val="0059066C"/>
    <w:rsid w:val="005A403D"/>
    <w:rsid w:val="0060271B"/>
    <w:rsid w:val="00643ADE"/>
    <w:rsid w:val="006544EC"/>
    <w:rsid w:val="006556EA"/>
    <w:rsid w:val="006B5D0A"/>
    <w:rsid w:val="006E3298"/>
    <w:rsid w:val="0070549E"/>
    <w:rsid w:val="0076399A"/>
    <w:rsid w:val="007778BD"/>
    <w:rsid w:val="007A4D58"/>
    <w:rsid w:val="007B6243"/>
    <w:rsid w:val="007E7A49"/>
    <w:rsid w:val="007F0BFD"/>
    <w:rsid w:val="00856815"/>
    <w:rsid w:val="00864618"/>
    <w:rsid w:val="008D7312"/>
    <w:rsid w:val="008E5B26"/>
    <w:rsid w:val="00957BCC"/>
    <w:rsid w:val="009B7C41"/>
    <w:rsid w:val="009C3D5D"/>
    <w:rsid w:val="009D176B"/>
    <w:rsid w:val="009E46AD"/>
    <w:rsid w:val="00A00917"/>
    <w:rsid w:val="00A47E42"/>
    <w:rsid w:val="00A66191"/>
    <w:rsid w:val="00AC69C3"/>
    <w:rsid w:val="00AD4593"/>
    <w:rsid w:val="00AE68DC"/>
    <w:rsid w:val="00B13195"/>
    <w:rsid w:val="00B94575"/>
    <w:rsid w:val="00B94CE5"/>
    <w:rsid w:val="00BB6994"/>
    <w:rsid w:val="00BC53E6"/>
    <w:rsid w:val="00C03CD7"/>
    <w:rsid w:val="00C05841"/>
    <w:rsid w:val="00C65CAF"/>
    <w:rsid w:val="00C84C28"/>
    <w:rsid w:val="00CD5AE8"/>
    <w:rsid w:val="00CF5D5B"/>
    <w:rsid w:val="00D072FA"/>
    <w:rsid w:val="00D0794F"/>
    <w:rsid w:val="00D47E8F"/>
    <w:rsid w:val="00D50F3F"/>
    <w:rsid w:val="00D55951"/>
    <w:rsid w:val="00D937EB"/>
    <w:rsid w:val="00DA48A9"/>
    <w:rsid w:val="00DB3C4D"/>
    <w:rsid w:val="00DC351D"/>
    <w:rsid w:val="00DF1AE6"/>
    <w:rsid w:val="00E15BF1"/>
    <w:rsid w:val="00E250D7"/>
    <w:rsid w:val="00E85DDD"/>
    <w:rsid w:val="00EB5667"/>
    <w:rsid w:val="00EC7A71"/>
    <w:rsid w:val="00F34F45"/>
    <w:rsid w:val="00F53C48"/>
    <w:rsid w:val="00F934B2"/>
    <w:rsid w:val="00FD4A63"/>
    <w:rsid w:val="025005C5"/>
    <w:rsid w:val="02810D87"/>
    <w:rsid w:val="06DB44D3"/>
    <w:rsid w:val="07F55C66"/>
    <w:rsid w:val="09526CCE"/>
    <w:rsid w:val="0A4A4A48"/>
    <w:rsid w:val="0CFA2E99"/>
    <w:rsid w:val="0D023D95"/>
    <w:rsid w:val="0D534CEF"/>
    <w:rsid w:val="0E945864"/>
    <w:rsid w:val="100F5F0A"/>
    <w:rsid w:val="10EA3815"/>
    <w:rsid w:val="11205904"/>
    <w:rsid w:val="116E42B9"/>
    <w:rsid w:val="14F766D0"/>
    <w:rsid w:val="16223ECC"/>
    <w:rsid w:val="16E11692"/>
    <w:rsid w:val="19466646"/>
    <w:rsid w:val="1B1031E2"/>
    <w:rsid w:val="1DAD0520"/>
    <w:rsid w:val="22665141"/>
    <w:rsid w:val="22E17781"/>
    <w:rsid w:val="2757435A"/>
    <w:rsid w:val="286E0FD4"/>
    <w:rsid w:val="2F4D3910"/>
    <w:rsid w:val="2FB27C17"/>
    <w:rsid w:val="35F25212"/>
    <w:rsid w:val="387F0F58"/>
    <w:rsid w:val="38F06EFE"/>
    <w:rsid w:val="3986639D"/>
    <w:rsid w:val="39A61DDF"/>
    <w:rsid w:val="3B5A0F36"/>
    <w:rsid w:val="3C0B2B89"/>
    <w:rsid w:val="3D5D48AC"/>
    <w:rsid w:val="3DBB238D"/>
    <w:rsid w:val="4048214A"/>
    <w:rsid w:val="40F97454"/>
    <w:rsid w:val="414334DE"/>
    <w:rsid w:val="431A1904"/>
    <w:rsid w:val="46CA54CA"/>
    <w:rsid w:val="485A1120"/>
    <w:rsid w:val="4C806C7C"/>
    <w:rsid w:val="5261632C"/>
    <w:rsid w:val="528A4201"/>
    <w:rsid w:val="558C6691"/>
    <w:rsid w:val="57160F93"/>
    <w:rsid w:val="5BC674EA"/>
    <w:rsid w:val="5BD20B76"/>
    <w:rsid w:val="5BD415B9"/>
    <w:rsid w:val="5C2F421A"/>
    <w:rsid w:val="5E124648"/>
    <w:rsid w:val="5EA071C0"/>
    <w:rsid w:val="5EFB454F"/>
    <w:rsid w:val="604E30FB"/>
    <w:rsid w:val="608D7E94"/>
    <w:rsid w:val="657C10BA"/>
    <w:rsid w:val="65B17A4E"/>
    <w:rsid w:val="662F5543"/>
    <w:rsid w:val="670C39E0"/>
    <w:rsid w:val="686E0175"/>
    <w:rsid w:val="6994390F"/>
    <w:rsid w:val="6B185414"/>
    <w:rsid w:val="6B5C3A29"/>
    <w:rsid w:val="6BE46A34"/>
    <w:rsid w:val="6EC30F1E"/>
    <w:rsid w:val="718D136F"/>
    <w:rsid w:val="74F53239"/>
    <w:rsid w:val="765E4A8E"/>
    <w:rsid w:val="7C4D1384"/>
    <w:rsid w:val="7C565CE3"/>
    <w:rsid w:val="7C9007E5"/>
    <w:rsid w:val="7CEC65E1"/>
    <w:rsid w:val="7D4D1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29"/>
    <w:qFormat/>
    <w:uiPriority w:val="0"/>
    <w:pPr>
      <w:keepNext/>
      <w:keepLines/>
      <w:spacing w:before="120" w:after="120"/>
      <w:outlineLvl w:val="1"/>
    </w:pPr>
    <w:rPr>
      <w:rFonts w:ascii="Arial" w:hAnsi="Arial" w:eastAsia="仿宋"/>
      <w:b/>
      <w:bCs/>
      <w:sz w:val="28"/>
      <w:szCs w:val="32"/>
    </w:rPr>
  </w:style>
  <w:style w:type="paragraph" w:styleId="2">
    <w:name w:val="heading 3"/>
    <w:basedOn w:val="1"/>
    <w:next w:val="1"/>
    <w:link w:val="30"/>
    <w:qFormat/>
    <w:uiPriority w:val="0"/>
    <w:pPr>
      <w:keepNext/>
      <w:keepLines/>
      <w:spacing w:before="120" w:after="120"/>
      <w:outlineLvl w:val="2"/>
    </w:pPr>
    <w:rPr>
      <w:rFonts w:eastAsia="仿宋"/>
      <w:b/>
      <w:sz w:val="30"/>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5">
    <w:name w:val="table of authorities"/>
    <w:basedOn w:val="1"/>
    <w:next w:val="1"/>
    <w:qFormat/>
    <w:uiPriority w:val="99"/>
    <w:pPr>
      <w:ind w:left="420" w:leftChars="200"/>
    </w:pPr>
  </w:style>
  <w:style w:type="paragraph" w:styleId="6">
    <w:name w:val="Normal Indent"/>
    <w:basedOn w:val="1"/>
    <w:qFormat/>
    <w:uiPriority w:val="0"/>
    <w:pPr>
      <w:ind w:firstLine="420" w:firstLineChars="200"/>
    </w:pPr>
  </w:style>
  <w:style w:type="paragraph" w:styleId="7">
    <w:name w:val="annotation text"/>
    <w:basedOn w:val="1"/>
    <w:link w:val="32"/>
    <w:qFormat/>
    <w:uiPriority w:val="0"/>
    <w:pPr>
      <w:jc w:val="left"/>
    </w:pPr>
  </w:style>
  <w:style w:type="paragraph" w:styleId="8">
    <w:name w:val="Body Text"/>
    <w:basedOn w:val="1"/>
    <w:next w:val="9"/>
    <w:link w:val="31"/>
    <w:qFormat/>
    <w:uiPriority w:val="0"/>
    <w:pPr>
      <w:spacing w:after="120"/>
    </w:pPr>
  </w:style>
  <w:style w:type="paragraph" w:styleId="9">
    <w:name w:val="Body Text First Indent"/>
    <w:basedOn w:val="8"/>
    <w:next w:val="1"/>
    <w:link w:val="35"/>
    <w:qFormat/>
    <w:uiPriority w:val="0"/>
    <w:pPr>
      <w:spacing w:line="360" w:lineRule="auto"/>
      <w:ind w:firstLine="420"/>
    </w:pPr>
    <w:rPr>
      <w:rFonts w:ascii="宋体" w:hAnsi="宋体"/>
      <w:sz w:val="24"/>
    </w:rPr>
  </w:style>
  <w:style w:type="paragraph" w:styleId="10">
    <w:name w:val="Plain Text"/>
    <w:basedOn w:val="1"/>
    <w:qFormat/>
    <w:uiPriority w:val="0"/>
    <w:rPr>
      <w:rFonts w:hAnsi="Courier New"/>
    </w:rPr>
  </w:style>
  <w:style w:type="paragraph" w:styleId="11">
    <w:name w:val="Date"/>
    <w:basedOn w:val="1"/>
    <w:next w:val="1"/>
    <w:link w:val="46"/>
    <w:semiHidden/>
    <w:unhideWhenUsed/>
    <w:qFormat/>
    <w:uiPriority w:val="99"/>
    <w:pPr>
      <w:ind w:left="100" w:leftChars="2500"/>
    </w:pPr>
  </w:style>
  <w:style w:type="paragraph" w:styleId="12">
    <w:name w:val="Body Text Indent 2"/>
    <w:basedOn w:val="1"/>
    <w:link w:val="33"/>
    <w:qFormat/>
    <w:uiPriority w:val="0"/>
    <w:pPr>
      <w:ind w:firstLine="630"/>
    </w:pPr>
    <w:rPr>
      <w:sz w:val="32"/>
    </w:rPr>
  </w:style>
  <w:style w:type="paragraph" w:styleId="13">
    <w:name w:val="Balloon Text"/>
    <w:basedOn w:val="1"/>
    <w:link w:val="53"/>
    <w:semiHidden/>
    <w:unhideWhenUsed/>
    <w:qFormat/>
    <w:uiPriority w:val="99"/>
    <w:rPr>
      <w:sz w:val="18"/>
      <w:szCs w:val="18"/>
    </w:rPr>
  </w:style>
  <w:style w:type="paragraph" w:styleId="14">
    <w:name w:val="footer"/>
    <w:basedOn w:val="1"/>
    <w:link w:val="27"/>
    <w:unhideWhenUsed/>
    <w:qFormat/>
    <w:uiPriority w:val="0"/>
    <w:pPr>
      <w:tabs>
        <w:tab w:val="center" w:pos="4153"/>
        <w:tab w:val="right" w:pos="8306"/>
      </w:tabs>
      <w:snapToGrid w:val="0"/>
      <w:jc w:val="left"/>
    </w:pPr>
    <w:rPr>
      <w:sz w:val="18"/>
      <w:szCs w:val="18"/>
    </w:rPr>
  </w:style>
  <w:style w:type="paragraph" w:styleId="15">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4"/>
    <w:qFormat/>
    <w:uiPriority w:val="0"/>
    <w:rPr>
      <w:sz w:val="28"/>
    </w:rPr>
  </w:style>
  <w:style w:type="paragraph" w:styleId="17">
    <w:name w:val="annotation subject"/>
    <w:basedOn w:val="7"/>
    <w:next w:val="7"/>
    <w:link w:val="47"/>
    <w:semiHidden/>
    <w:unhideWhenUsed/>
    <w:qFormat/>
    <w:uiPriority w:val="99"/>
    <w:rPr>
      <w:b/>
      <w:bCs/>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annotation reference"/>
    <w:basedOn w:val="20"/>
    <w:semiHidden/>
    <w:unhideWhenUsed/>
    <w:qFormat/>
    <w:uiPriority w:val="99"/>
    <w:rPr>
      <w:sz w:val="21"/>
      <w:szCs w:val="21"/>
    </w:rPr>
  </w:style>
  <w:style w:type="paragraph" w:customStyle="1" w:styleId="23">
    <w:name w:val="标题 5（有编号）（绿盟科技）"/>
    <w:basedOn w:val="24"/>
    <w:next w:val="25"/>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5">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26">
    <w:name w:val="页眉 字符"/>
    <w:basedOn w:val="20"/>
    <w:link w:val="15"/>
    <w:qFormat/>
    <w:uiPriority w:val="99"/>
    <w:rPr>
      <w:sz w:val="18"/>
      <w:szCs w:val="18"/>
    </w:rPr>
  </w:style>
  <w:style w:type="character" w:customStyle="1" w:styleId="27">
    <w:name w:val="页脚 字符"/>
    <w:basedOn w:val="20"/>
    <w:link w:val="14"/>
    <w:qFormat/>
    <w:uiPriority w:val="99"/>
    <w:rPr>
      <w:sz w:val="18"/>
      <w:szCs w:val="18"/>
    </w:rPr>
  </w:style>
  <w:style w:type="character" w:customStyle="1" w:styleId="28">
    <w:name w:val="标题 1 字符"/>
    <w:basedOn w:val="20"/>
    <w:link w:val="3"/>
    <w:qFormat/>
    <w:uiPriority w:val="99"/>
    <w:rPr>
      <w:b/>
      <w:bCs/>
      <w:kern w:val="44"/>
      <w:sz w:val="44"/>
      <w:szCs w:val="44"/>
    </w:rPr>
  </w:style>
  <w:style w:type="character" w:customStyle="1" w:styleId="29">
    <w:name w:val="标题 2 字符"/>
    <w:basedOn w:val="20"/>
    <w:link w:val="4"/>
    <w:qFormat/>
    <w:uiPriority w:val="0"/>
    <w:rPr>
      <w:rFonts w:ascii="Arial" w:hAnsi="Arial" w:eastAsia="仿宋"/>
      <w:b/>
      <w:bCs/>
      <w:sz w:val="28"/>
      <w:szCs w:val="32"/>
    </w:rPr>
  </w:style>
  <w:style w:type="character" w:customStyle="1" w:styleId="30">
    <w:name w:val="标题 3 字符"/>
    <w:basedOn w:val="20"/>
    <w:link w:val="2"/>
    <w:qFormat/>
    <w:uiPriority w:val="0"/>
    <w:rPr>
      <w:rFonts w:eastAsia="仿宋"/>
      <w:b/>
      <w:sz w:val="30"/>
    </w:rPr>
  </w:style>
  <w:style w:type="character" w:customStyle="1" w:styleId="31">
    <w:name w:val="正文文本 字符"/>
    <w:basedOn w:val="20"/>
    <w:link w:val="8"/>
    <w:qFormat/>
    <w:uiPriority w:val="0"/>
  </w:style>
  <w:style w:type="character" w:customStyle="1" w:styleId="32">
    <w:name w:val="批注文字 字符"/>
    <w:basedOn w:val="20"/>
    <w:link w:val="7"/>
    <w:qFormat/>
    <w:uiPriority w:val="0"/>
  </w:style>
  <w:style w:type="character" w:customStyle="1" w:styleId="33">
    <w:name w:val="正文文本缩进 2 字符"/>
    <w:basedOn w:val="20"/>
    <w:link w:val="12"/>
    <w:qFormat/>
    <w:uiPriority w:val="0"/>
    <w:rPr>
      <w:sz w:val="32"/>
    </w:rPr>
  </w:style>
  <w:style w:type="character" w:customStyle="1" w:styleId="34">
    <w:name w:val="副标题 字符"/>
    <w:basedOn w:val="20"/>
    <w:link w:val="16"/>
    <w:qFormat/>
    <w:uiPriority w:val="0"/>
    <w:rPr>
      <w:sz w:val="28"/>
    </w:rPr>
  </w:style>
  <w:style w:type="character" w:customStyle="1" w:styleId="35">
    <w:name w:val="正文首行缩进 字符"/>
    <w:basedOn w:val="31"/>
    <w:link w:val="9"/>
    <w:qFormat/>
    <w:uiPriority w:val="0"/>
    <w:rPr>
      <w:rFonts w:ascii="宋体" w:hAnsi="宋体"/>
      <w:sz w:val="24"/>
    </w:rPr>
  </w:style>
  <w:style w:type="paragraph" w:customStyle="1" w:styleId="36">
    <w:name w:val="13、表格内居中正文"/>
    <w:basedOn w:val="1"/>
    <w:qFormat/>
    <w:uiPriority w:val="0"/>
    <w:pPr>
      <w:wordWrap w:val="0"/>
      <w:topLinePunct/>
      <w:spacing w:line="360" w:lineRule="exact"/>
      <w:jc w:val="center"/>
    </w:pPr>
    <w:rPr>
      <w:rFonts w:ascii="宋体" w:hAnsi="宋体" w:eastAsia="宋体"/>
    </w:rPr>
  </w:style>
  <w:style w:type="paragraph" w:customStyle="1" w:styleId="3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8">
    <w:name w:val="表格"/>
    <w:basedOn w:val="1"/>
    <w:qFormat/>
    <w:uiPriority w:val="0"/>
    <w:pPr>
      <w:spacing w:line="400" w:lineRule="exact"/>
    </w:pPr>
    <w:rPr>
      <w:sz w:val="24"/>
      <w:szCs w:val="24"/>
    </w:rPr>
  </w:style>
  <w:style w:type="paragraph" w:customStyle="1" w:styleId="39">
    <w:name w:val="样式 首行缩进:  2 字符"/>
    <w:basedOn w:val="1"/>
    <w:qFormat/>
    <w:uiPriority w:val="0"/>
    <w:pPr>
      <w:spacing w:line="400" w:lineRule="exact"/>
      <w:ind w:firstLine="200" w:firstLineChars="200"/>
    </w:pPr>
    <w:rPr>
      <w:rFonts w:cs="宋体"/>
      <w:sz w:val="24"/>
    </w:rPr>
  </w:style>
  <w:style w:type="paragraph" w:customStyle="1" w:styleId="40">
    <w:name w:val="列出段落1"/>
    <w:basedOn w:val="1"/>
    <w:qFormat/>
    <w:uiPriority w:val="0"/>
    <w:pPr>
      <w:ind w:firstLine="420" w:firstLineChars="200"/>
    </w:pPr>
    <w:rPr>
      <w:szCs w:val="24"/>
    </w:r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customStyle="1" w:styleId="42">
    <w:name w:val="BodyText"/>
    <w:next w:val="1"/>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3">
    <w:name w:val="font31"/>
    <w:qFormat/>
    <w:uiPriority w:val="0"/>
    <w:rPr>
      <w:rFonts w:hint="eastAsia" w:ascii="宋体" w:hAnsi="宋体" w:eastAsia="宋体" w:cs="宋体"/>
      <w:b/>
      <w:color w:val="000000"/>
      <w:sz w:val="22"/>
      <w:szCs w:val="22"/>
      <w:u w:val="none"/>
    </w:rPr>
  </w:style>
  <w:style w:type="character" w:customStyle="1" w:styleId="44">
    <w:name w:val="font21"/>
    <w:qFormat/>
    <w:uiPriority w:val="0"/>
    <w:rPr>
      <w:rFonts w:hint="eastAsia" w:ascii="宋体" w:hAnsi="宋体" w:eastAsia="宋体" w:cs="宋体"/>
      <w:color w:val="000000"/>
      <w:sz w:val="20"/>
      <w:szCs w:val="20"/>
      <w:u w:val="none"/>
    </w:rPr>
  </w:style>
  <w:style w:type="character" w:customStyle="1" w:styleId="45">
    <w:name w:val="font81"/>
    <w:qFormat/>
    <w:uiPriority w:val="0"/>
    <w:rPr>
      <w:rFonts w:hint="eastAsia" w:ascii="宋体" w:hAnsi="宋体" w:eastAsia="宋体" w:cs="宋体"/>
      <w:b/>
      <w:color w:val="000000"/>
      <w:sz w:val="22"/>
      <w:szCs w:val="22"/>
      <w:u w:val="none"/>
    </w:rPr>
  </w:style>
  <w:style w:type="character" w:customStyle="1" w:styleId="46">
    <w:name w:val="日期 字符"/>
    <w:basedOn w:val="20"/>
    <w:link w:val="11"/>
    <w:semiHidden/>
    <w:qFormat/>
    <w:uiPriority w:val="99"/>
    <w:rPr>
      <w:kern w:val="2"/>
      <w:sz w:val="21"/>
      <w:szCs w:val="22"/>
    </w:rPr>
  </w:style>
  <w:style w:type="character" w:customStyle="1" w:styleId="47">
    <w:name w:val="批注主题 字符"/>
    <w:basedOn w:val="32"/>
    <w:link w:val="17"/>
    <w:semiHidden/>
    <w:qFormat/>
    <w:uiPriority w:val="99"/>
    <w:rPr>
      <w:b/>
      <w:bCs/>
      <w:kern w:val="2"/>
      <w:sz w:val="21"/>
      <w:szCs w:val="22"/>
    </w:rPr>
  </w:style>
  <w:style w:type="paragraph" w:customStyle="1" w:styleId="48">
    <w:name w:val="Table Paragraph"/>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49">
    <w:name w:val="List Paragraph"/>
    <w:basedOn w:val="1"/>
    <w:unhideWhenUsed/>
    <w:qFormat/>
    <w:uiPriority w:val="34"/>
    <w:pPr>
      <w:ind w:firstLine="420" w:firstLineChars="200"/>
    </w:pPr>
  </w:style>
  <w:style w:type="paragraph" w:customStyle="1" w:styleId="50">
    <w:name w:val="章标题"/>
    <w:next w:val="1"/>
    <w:qFormat/>
    <w:uiPriority w:val="99"/>
    <w:pPr>
      <w:spacing w:beforeLines="50" w:afterLines="50" w:line="336" w:lineRule="auto"/>
      <w:jc w:val="both"/>
      <w:outlineLvl w:val="1"/>
    </w:pPr>
    <w:rPr>
      <w:rFonts w:ascii="黑体" w:hAnsi="Times New Roman" w:eastAsia="黑体" w:cs="Times New Roman"/>
      <w:sz w:val="21"/>
      <w:szCs w:val="21"/>
      <w:lang w:val="en-US" w:eastAsia="zh-CN" w:bidi="ar-SA"/>
    </w:rPr>
  </w:style>
  <w:style w:type="paragraph" w:customStyle="1" w:styleId="51">
    <w:name w:val="锦泰-正文"/>
    <w:qFormat/>
    <w:uiPriority w:val="0"/>
    <w:pPr>
      <w:widowControl w:val="0"/>
      <w:suppressAutoHyphens/>
      <w:spacing w:line="360" w:lineRule="auto"/>
      <w:ind w:firstLine="883" w:firstLineChars="200"/>
      <w:jc w:val="both"/>
    </w:pPr>
    <w:rPr>
      <w:rFonts w:ascii="Times New Roman" w:hAnsi="Times New Roman" w:eastAsia="仿宋" w:cs="Mangal"/>
      <w:kern w:val="2"/>
      <w:sz w:val="32"/>
      <w:szCs w:val="24"/>
      <w:lang w:val="en-US" w:eastAsia="zh-CN" w:bidi="hi-IN"/>
    </w:rPr>
  </w:style>
  <w:style w:type="character" w:customStyle="1" w:styleId="52">
    <w:name w:val="font11"/>
    <w:basedOn w:val="20"/>
    <w:qFormat/>
    <w:uiPriority w:val="0"/>
    <w:rPr>
      <w:rFonts w:hint="eastAsia" w:ascii="宋体" w:hAnsi="宋体" w:eastAsia="宋体" w:cs="宋体"/>
      <w:color w:val="000000"/>
      <w:sz w:val="24"/>
      <w:szCs w:val="24"/>
      <w:u w:val="none"/>
    </w:rPr>
  </w:style>
  <w:style w:type="character" w:customStyle="1" w:styleId="53">
    <w:name w:val="批注框文本 字符"/>
    <w:basedOn w:val="20"/>
    <w:link w:val="1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580869-614C-45F9-BCD3-1367E6E2B420}">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2306</Words>
  <Characters>13149</Characters>
  <Lines>109</Lines>
  <Paragraphs>30</Paragraphs>
  <TotalTime>36</TotalTime>
  <ScaleCrop>false</ScaleCrop>
  <LinksUpToDate>false</LinksUpToDate>
  <CharactersWithSpaces>15425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2023-05-30T09:40:00Z</dcterms:created>
  <dc:creator>wang mingfu</dc:creator>
  <cp:lastModifiedBy>Administrator</cp:lastModifiedBy>
  <cp:lastPrinted>2023-11-30T00:52:00Z</cp:lastPrinted>
  <dcterms:modified xsi:type="dcterms:W3CDTF">2023-12-04T06:39:35Z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BF2B1A6616854115B3000DA7DCFEEF67</vt:lpwstr>
  </property>
</Properties>
</file>