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10</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9"/>
        <w:rPr>
          <w:lang w:val="zh-CN"/>
        </w:rPr>
      </w:pPr>
      <w:r>
        <w:rPr>
          <w:lang w:val="zh-CN"/>
        </w:rPr>
        <w:br w:type="page"/>
      </w:r>
    </w:p>
    <w:p>
      <w:pPr>
        <w:pStyle w:val="4"/>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outlineLvl w:val="2"/>
        <w:rPr>
          <w:rFonts w:ascii="宋体" w:hAnsi="宋体" w:eastAsia="宋体" w:cs="Times New Roman"/>
          <w:b/>
          <w:bCs/>
          <w:sz w:val="24"/>
          <w:szCs w:val="24"/>
        </w:rPr>
      </w:pPr>
      <w:r>
        <w:rPr>
          <w:rFonts w:hint="eastAsia" w:ascii="宋体" w:hAnsi="宋体" w:eastAsia="宋体" w:cs="Times New Roman"/>
          <w:sz w:val="24"/>
          <w:szCs w:val="24"/>
        </w:rPr>
        <w:t>四川铁道职业学院拟</w:t>
      </w:r>
      <w:r>
        <w:rPr>
          <w:rFonts w:hint="eastAsia" w:ascii="宋体" w:hAnsi="宋体" w:eastAsia="宋体" w:cs="Times New Roman"/>
          <w:sz w:val="24"/>
          <w:szCs w:val="24"/>
          <w:lang w:eastAsia="zh-CN"/>
        </w:rPr>
        <w:t>对马克思主义学院文化墙建设</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马克思主义学院文化墙建设</w:t>
      </w:r>
      <w:r>
        <w:rPr>
          <w:rFonts w:hint="eastAsia" w:ascii="宋体" w:hAnsi="宋体" w:eastAsia="宋体" w:cs="Times New Roman"/>
          <w:sz w:val="24"/>
          <w:szCs w:val="24"/>
        </w:rPr>
        <w:t>项目</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w:t>
      </w:r>
      <w:r>
        <w:rPr>
          <w:rFonts w:hint="eastAsia" w:ascii="宋体" w:hAnsi="宋体" w:eastAsia="宋体" w:cs="Times New Roman"/>
          <w:b/>
          <w:sz w:val="24"/>
          <w:szCs w:val="24"/>
          <w:lang w:val="en-US" w:eastAsia="zh-CN"/>
        </w:rPr>
        <w:t>20</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10</w:t>
      </w:r>
      <w:r>
        <w:rPr>
          <w:rFonts w:ascii="宋体" w:hAnsi="宋体" w:eastAsia="宋体" w:cs="Times New Roman"/>
          <w:sz w:val="24"/>
          <w:szCs w:val="24"/>
        </w:rPr>
        <w:t>月</w:t>
      </w:r>
      <w:r>
        <w:rPr>
          <w:rFonts w:hint="eastAsia" w:ascii="宋体" w:hAnsi="宋体" w:eastAsia="宋体" w:cs="Times New Roman"/>
          <w:sz w:val="24"/>
          <w:szCs w:val="24"/>
          <w:lang w:val="en-US" w:eastAsia="zh-CN"/>
        </w:rPr>
        <w:t>23</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w:t>
      </w:r>
      <w:bookmarkStart w:id="34" w:name="_GoBack"/>
      <w:bookmarkEnd w:id="34"/>
      <w:r>
        <w:rPr>
          <w:rFonts w:hint="eastAsia" w:ascii="宋体" w:hAnsi="宋体" w:eastAsia="宋体" w:cs="Times New Roman"/>
          <w:sz w:val="24"/>
          <w:szCs w:val="24"/>
        </w:rPr>
        <w:t>被拒收。</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8"/>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3"/>
        <w:spacing w:after="0"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成都郫都区安德街道彭温路</w:t>
      </w:r>
      <w:r>
        <w:rPr>
          <w:rFonts w:ascii="宋体" w:hAnsi="宋体" w:eastAsia="宋体" w:cs="Times New Roman"/>
          <w:color w:val="000000" w:themeColor="text1"/>
          <w:sz w:val="24"/>
          <w:szCs w:val="24"/>
        </w:rPr>
        <w:t>399号四川铁道职业学院基建后勤办公区</w:t>
      </w:r>
      <w:r>
        <w:rPr>
          <w:rFonts w:hint="eastAsia" w:ascii="宋体" w:hAnsi="宋体" w:eastAsia="宋体" w:cs="Times New Roman"/>
          <w:color w:val="000000" w:themeColor="text1"/>
          <w:sz w:val="24"/>
          <w:szCs w:val="24"/>
        </w:rPr>
        <w:t>2</w:t>
      </w:r>
      <w:r>
        <w:rPr>
          <w:rFonts w:ascii="宋体" w:hAnsi="宋体" w:eastAsia="宋体" w:cs="Times New Roman"/>
          <w:color w:val="000000" w:themeColor="text1"/>
          <w:sz w:val="24"/>
          <w:szCs w:val="24"/>
        </w:rPr>
        <w:t>14室(</w:t>
      </w:r>
      <w:r>
        <w:rPr>
          <w:rFonts w:hint="eastAsia" w:ascii="宋体" w:hAnsi="宋体" w:eastAsia="宋体" w:cs="Times New Roman"/>
          <w:color w:val="000000" w:themeColor="text1"/>
          <w:sz w:val="24"/>
          <w:szCs w:val="24"/>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龙</w:t>
      </w:r>
      <w:r>
        <w:rPr>
          <w:rFonts w:hint="eastAsia" w:ascii="宋体" w:hAnsi="宋体" w:eastAsia="宋体" w:cs="Times New Roman"/>
          <w:sz w:val="24"/>
          <w:szCs w:val="24"/>
        </w:rPr>
        <w:t>老师</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68939931</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rPr>
            </w:pPr>
            <w:r>
              <w:rPr>
                <w:rFonts w:hint="eastAsia" w:ascii="宋体" w:hAnsi="宋体" w:eastAsia="宋体" w:cs="仿宋"/>
                <w:b/>
                <w:bCs/>
                <w:color w:val="000000" w:themeColor="text1"/>
                <w:sz w:val="22"/>
              </w:rPr>
              <w:t>序号</w:t>
            </w:r>
          </w:p>
        </w:tc>
        <w:tc>
          <w:tcPr>
            <w:tcW w:w="2210" w:type="dxa"/>
            <w:vAlign w:val="center"/>
          </w:tcPr>
          <w:p>
            <w:pPr>
              <w:spacing w:line="360" w:lineRule="auto"/>
              <w:jc w:val="center"/>
              <w:rPr>
                <w:rFonts w:ascii="宋体" w:hAnsi="宋体" w:eastAsia="宋体" w:cs="仿宋"/>
                <w:b/>
                <w:bCs/>
                <w:color w:val="000000" w:themeColor="text1"/>
                <w:sz w:val="22"/>
              </w:rPr>
            </w:pPr>
            <w:r>
              <w:rPr>
                <w:rFonts w:hint="eastAsia" w:ascii="宋体" w:hAnsi="宋体" w:eastAsia="宋体" w:cs="仿宋"/>
                <w:b/>
                <w:bCs/>
                <w:color w:val="000000" w:themeColor="text1"/>
                <w:sz w:val="22"/>
              </w:rPr>
              <w:t>应知事项</w:t>
            </w:r>
          </w:p>
        </w:tc>
        <w:tc>
          <w:tcPr>
            <w:tcW w:w="6197" w:type="dxa"/>
            <w:vAlign w:val="center"/>
          </w:tcPr>
          <w:p>
            <w:pPr>
              <w:spacing w:line="360" w:lineRule="auto"/>
              <w:jc w:val="center"/>
              <w:rPr>
                <w:rFonts w:ascii="宋体" w:hAnsi="宋体" w:eastAsia="宋体" w:cs="仿宋"/>
                <w:b/>
                <w:bCs/>
                <w:color w:val="000000" w:themeColor="text1"/>
                <w:sz w:val="22"/>
              </w:rPr>
            </w:pPr>
            <w:r>
              <w:rPr>
                <w:rFonts w:hint="eastAsia" w:ascii="宋体" w:hAnsi="宋体" w:eastAsia="宋体" w:cs="仿宋"/>
                <w:b/>
                <w:bCs/>
                <w:color w:val="000000" w:themeColor="text1"/>
                <w:sz w:val="2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人民币</w:t>
            </w:r>
            <w:r>
              <w:rPr>
                <w:rFonts w:hint="eastAsia" w:cstheme="minorBidi"/>
                <w:bCs/>
                <w:color w:val="000000" w:themeColor="text1"/>
                <w:kern w:val="2"/>
                <w:sz w:val="21"/>
                <w:szCs w:val="21"/>
                <w:lang w:val="en-US" w:eastAsia="zh-CN"/>
              </w:rPr>
              <w:t>6</w:t>
            </w:r>
            <w:r>
              <w:rPr>
                <w:rFonts w:hint="eastAsia" w:cstheme="minorBidi"/>
                <w:bCs/>
                <w:color w:val="000000" w:themeColor="text1"/>
                <w:kern w:val="2"/>
                <w:sz w:val="21"/>
                <w:szCs w:val="21"/>
                <w:lang w:val="zh-CN"/>
              </w:rPr>
              <w:t>万元</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人民币</w:t>
            </w:r>
            <w:r>
              <w:rPr>
                <w:rFonts w:hint="eastAsia" w:cstheme="minorBidi"/>
                <w:bCs/>
                <w:color w:val="000000" w:themeColor="text1"/>
                <w:kern w:val="2"/>
                <w:sz w:val="21"/>
                <w:szCs w:val="21"/>
                <w:lang w:val="en-US" w:eastAsia="zh-CN"/>
              </w:rPr>
              <w:t>6</w:t>
            </w:r>
            <w:r>
              <w:rPr>
                <w:rFonts w:hint="eastAsia" w:cstheme="minorBidi"/>
                <w:bCs/>
                <w:color w:val="000000" w:themeColor="text1"/>
                <w:kern w:val="2"/>
                <w:sz w:val="21"/>
                <w:szCs w:val="21"/>
                <w:lang w:val="zh-CN"/>
              </w:rPr>
              <w:t>万元</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超过最高限价的报价，其比选</w:t>
            </w:r>
            <w:bookmarkStart w:id="5" w:name="_Hlk136353364"/>
            <w:r>
              <w:rPr>
                <w:rFonts w:hint="eastAsia" w:cstheme="minorBidi"/>
                <w:bCs/>
                <w:color w:val="000000" w:themeColor="text1"/>
                <w:kern w:val="2"/>
                <w:sz w:val="21"/>
                <w:szCs w:val="21"/>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cs="Times New Roman"/>
                <w:sz w:val="22"/>
                <w:szCs w:val="22"/>
                <w:lang w:val="zh-CN"/>
              </w:rPr>
              <w:t>不正当竞争预防措施</w:t>
            </w:r>
          </w:p>
          <w:p>
            <w:pPr>
              <w:pStyle w:val="43"/>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仿宋"/>
                <w:color w:val="000000" w:themeColor="text1"/>
                <w:sz w:val="21"/>
                <w:szCs w:val="21"/>
                <w:highlight w:val="green"/>
              </w:rPr>
            </w:pPr>
            <w:r>
              <w:rPr>
                <w:rFonts w:hint="eastAsia" w:cstheme="minorBidi"/>
                <w:bCs/>
                <w:color w:val="000000" w:themeColor="text1"/>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rPr>
            </w:pPr>
            <w:r>
              <w:rPr>
                <w:rFonts w:hint="eastAsia" w:cs="Times New Roman"/>
                <w:sz w:val="22"/>
                <w:szCs w:val="22"/>
              </w:rPr>
              <w:t>信用记录查询</w:t>
            </w:r>
          </w:p>
          <w:p>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（1）比选人通过</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rPr>
              <w:t>www.creditchina.gov.cn）和中国政府采购网（www.ccgp.gov.cn）</w:t>
            </w:r>
            <w:r>
              <w:rPr>
                <w:rFonts w:hint="eastAsia" w:cstheme="minorBidi"/>
                <w:bCs/>
                <w:color w:val="000000" w:themeColor="text1"/>
                <w:kern w:val="2"/>
                <w:sz w:val="21"/>
                <w:szCs w:val="21"/>
                <w:lang w:val="zh-CN"/>
              </w:rPr>
              <w:fldChar w:fldCharType="end"/>
            </w:r>
            <w:r>
              <w:rPr>
                <w:rFonts w:hint="eastAsia" w:cstheme="minorBidi"/>
                <w:bCs/>
                <w:color w:val="000000" w:themeColor="text1"/>
                <w:kern w:val="2"/>
                <w:sz w:val="21"/>
                <w:szCs w:val="21"/>
                <w:lang w:val="zh-CN"/>
              </w:rPr>
              <w:t>进行信用记录查询；</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（2）查询时间：本项目资格审查时；</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（3）查询记录和证据留存的具体方式：与比选文件一并保存；</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合同分包</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联合体</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3"/>
              <w:spacing w:line="360" w:lineRule="auto"/>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217446044"/>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6"/>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174151"/>
      <w:bookmarkStart w:id="17" w:name="_Toc101338364"/>
      <w:bookmarkStart w:id="18" w:name="_Toc209847069"/>
      <w:bookmarkStart w:id="19" w:name="_Toc430773927"/>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2</w:t>
            </w:r>
          </w:p>
        </w:tc>
        <w:tc>
          <w:tcPr>
            <w:tcW w:w="1351" w:type="pct"/>
            <w:vAlign w:val="center"/>
          </w:tcPr>
          <w:p>
            <w:pPr>
              <w:spacing w:line="36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3</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具有良好的商业信誉</w:t>
            </w:r>
            <w:r>
              <w:rPr>
                <w:rFonts w:hint="eastAsia" w:ascii="宋体" w:hAnsi="宋体" w:eastAsia="宋体" w:cs="Times New Roman"/>
                <w:b/>
                <w:color w:val="000000" w:themeColor="text1"/>
                <w:kern w:val="0"/>
                <w:szCs w:val="21"/>
              </w:rPr>
              <w:t>和</w:t>
            </w:r>
            <w:r>
              <w:rPr>
                <w:rFonts w:ascii="宋体" w:hAnsi="宋体" w:eastAsia="宋体" w:cs="Times New Roman"/>
                <w:b/>
                <w:color w:val="000000" w:themeColor="text1"/>
                <w:kern w:val="0"/>
                <w:szCs w:val="21"/>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4</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5</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hint="eastAsia" w:ascii="宋体" w:hAnsi="宋体" w:eastAsia="宋体" w:cs="Times New Roman"/>
                <w:b/>
                <w:color w:val="000000" w:themeColor="text1"/>
                <w:kern w:val="0"/>
                <w:szCs w:val="21"/>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6</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rPr>
            </w:pPr>
            <w:r>
              <w:rPr>
                <w:rFonts w:hint="eastAsia" w:ascii="宋体" w:hAnsi="宋体" w:eastAsia="宋体" w:cs="Times New Roman"/>
                <w:b/>
                <w:color w:val="000000" w:themeColor="text1"/>
                <w:kern w:val="0"/>
                <w:szCs w:val="21"/>
              </w:rPr>
              <w:t>7</w:t>
            </w:r>
          </w:p>
        </w:tc>
        <w:tc>
          <w:tcPr>
            <w:tcW w:w="1351" w:type="pct"/>
            <w:vAlign w:val="center"/>
          </w:tcPr>
          <w:p>
            <w:pPr>
              <w:spacing w:line="360" w:lineRule="exact"/>
              <w:jc w:val="center"/>
              <w:rPr>
                <w:rFonts w:ascii="宋体" w:hAnsi="宋体" w:eastAsia="宋体" w:cs="Times New Roman"/>
                <w:b/>
                <w:color w:val="000000" w:themeColor="text1"/>
                <w:kern w:val="0"/>
                <w:szCs w:val="21"/>
              </w:rPr>
            </w:pPr>
            <w:r>
              <w:rPr>
                <w:rFonts w:hint="eastAsia" w:ascii="宋体" w:hAnsi="宋体" w:eastAsia="宋体" w:cs="Times New Roman"/>
                <w:b/>
                <w:color w:val="000000" w:themeColor="text1"/>
                <w:kern w:val="0"/>
                <w:szCs w:val="21"/>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4"/>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（一）项目背景</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川铁道职业学院是四川省教育厅直属的全日制公办普通高等学校。学校位于成都市郫都区，设安德、内江两个校区，占地585亩，建有教学实训楼、图书馆、学生公寓、学生食堂、多功能礼堂、运动场等校舍，建筑面积16.82万平方米。设神理以景俗，敷文化以柔远。文化是一个国家和民族的灵魂。校园文化建设是社会主义先进文化建设的重要组成部分。为深入贯彻习近平总书记对思想政治理论课建设的重要要求，加强马克思主义学院内涵建设，营造良好的文化环境，构筑思政育人新阵地，以下为马克思主义学院文化墙建设方案设计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（二）建设要求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1.坚持社会主义办学正确方向，坚持守正创新、立德树人，兼具价值导向与艺术审美功能，简洁大气，庄重大方，既充分发挥环境的隐性教育功能，又彰显马克思主义学院的特色文化。</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2.本次项目共1个包，采购四川铁道职业学院安德校区马克思主义学院行政区域文化建设设计施工一体化供应商一名。</w:t>
      </w:r>
    </w:p>
    <w:p>
      <w:pPr>
        <w:spacing w:line="360" w:lineRule="auto"/>
        <w:ind w:firstLine="480" w:firstLineChars="200"/>
        <w:rPr>
          <w:rFonts w:hint="eastAsia" w:ascii="宋体" w:hAnsi="宋体" w:eastAsia="宋体" w:cs="Times New Roman"/>
          <w:sz w:val="24"/>
          <w:szCs w:val="24"/>
          <w:lang w:val="zh-CN"/>
        </w:rPr>
      </w:pPr>
    </w:p>
    <w:p>
      <w:pPr>
        <w:numPr>
          <w:ilvl w:val="0"/>
          <w:numId w:val="2"/>
        </w:numPr>
        <w:snapToGrid w:val="0"/>
        <w:spacing w:line="560" w:lineRule="exact"/>
        <w:ind w:left="0" w:leftChars="0" w:firstLine="562" w:firstLineChars="200"/>
        <w:textAlignment w:val="baseline"/>
        <w:outlineLvl w:val="1"/>
        <w:rPr>
          <w:rFonts w:hint="eastAsia" w:ascii="宋体" w:hAnsi="宋体" w:eastAsia="宋体" w:cs="仿宋"/>
          <w:b/>
          <w:bCs/>
          <w:sz w:val="28"/>
          <w:szCs w:val="24"/>
        </w:rPr>
      </w:pPr>
      <w:r>
        <w:rPr>
          <w:rFonts w:hint="eastAsia" w:ascii="宋体" w:hAnsi="宋体" w:eastAsia="宋体" w:cs="仿宋"/>
          <w:b/>
          <w:bCs/>
          <w:sz w:val="28"/>
          <w:szCs w:val="24"/>
        </w:rPr>
        <w:t>技术参数</w:t>
      </w:r>
      <w:r>
        <w:rPr>
          <w:rFonts w:hint="eastAsia" w:ascii="宋体" w:hAnsi="宋体" w:eastAsia="宋体" w:cs="仿宋"/>
          <w:b/>
          <w:bCs/>
          <w:sz w:val="28"/>
          <w:szCs w:val="24"/>
          <w:lang w:eastAsia="zh-CN"/>
        </w:rPr>
        <w:t>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（一）设计施工要求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1.文化建设项目名称、文化墙内容、数量、工艺规格及施工要求：</w:t>
      </w:r>
    </w:p>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rPr>
      </w:pPr>
    </w:p>
    <w:tbl>
      <w:tblPr>
        <w:tblStyle w:val="23"/>
        <w:tblW w:w="8835" w:type="dxa"/>
        <w:tblInd w:w="93" w:type="dxa"/>
        <w:tblLayout w:type="fixed"/>
        <w:tblCellMar>
          <w:top w:w="0" w:type="dxa"/>
          <w:left w:w="108" w:type="dxa"/>
          <w:bottom w:w="0" w:type="dxa"/>
          <w:right w:w="108" w:type="dxa"/>
        </w:tblCellMar>
      </w:tblPr>
      <w:tblGrid>
        <w:gridCol w:w="438"/>
        <w:gridCol w:w="1454"/>
        <w:gridCol w:w="1278"/>
        <w:gridCol w:w="3059"/>
        <w:gridCol w:w="834"/>
        <w:gridCol w:w="702"/>
        <w:gridCol w:w="378"/>
        <w:gridCol w:w="692"/>
      </w:tblGrid>
      <w:tr>
        <w:tblPrEx>
          <w:tblCellMar>
            <w:top w:w="0" w:type="dxa"/>
            <w:left w:w="108" w:type="dxa"/>
            <w:bottom w:w="0" w:type="dxa"/>
            <w:right w:w="108" w:type="dxa"/>
          </w:tblCellMar>
        </w:tblPrEx>
        <w:trPr>
          <w:trHeight w:val="114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序号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项目名称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文化墙</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内容</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规格/型号/工艺</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数量</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单位</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单价</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金额</w:t>
            </w:r>
          </w:p>
        </w:tc>
      </w:tr>
      <w:tr>
        <w:tblPrEx>
          <w:tblCellMar>
            <w:top w:w="0" w:type="dxa"/>
            <w:left w:w="108" w:type="dxa"/>
            <w:bottom w:w="0" w:type="dxa"/>
            <w:right w:w="108" w:type="dxa"/>
          </w:tblCellMar>
        </w:tblPrEx>
        <w:trPr>
          <w:trHeight w:val="25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2503办公室外墙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学院形象墙、学院简介、领导介绍、师资队伍、理论前沿、荣誉墙；</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墙面尺寸：7.98*2.9米  主体材质PVC厚度：1.5cm 可更换盒子采用亚克力制作，学院不锈钢白色烤漆+金色不锈钢字。文化墙制作尺寸高2.1*宽8米 异型雕刻、打磨、抛光、磨边、丝印、喷漆、装饰钉等配件、安装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16.8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m2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114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2503办公室外墙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学院形象墙基层</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墙面尺寸：7.98*2.9米，基层采用木板打底找平，面板采用生态木精工制作；</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23.1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m2</w:t>
            </w:r>
          </w:p>
        </w:tc>
        <w:tc>
          <w:tcPr>
            <w:tcW w:w="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25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p>
        </w:tc>
        <w:tc>
          <w:tcPr>
            <w:tcW w:w="1454" w:type="dxa"/>
            <w:tcBorders>
              <w:top w:val="nil"/>
              <w:left w:val="nil"/>
              <w:bottom w:val="nil"/>
              <w:right w:val="nil"/>
            </w:tcBorders>
            <w:shd w:val="clear" w:color="auto" w:fill="auto"/>
            <w:noWrap/>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2501办公室外墙</w:t>
            </w:r>
          </w:p>
        </w:tc>
        <w:tc>
          <w:tcPr>
            <w:tcW w:w="1278" w:type="dxa"/>
            <w:tcBorders>
              <w:top w:val="nil"/>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上方习近平标语+下方伟人介绍</w:t>
            </w:r>
          </w:p>
        </w:tc>
        <w:tc>
          <w:tcPr>
            <w:tcW w:w="3059" w:type="dxa"/>
            <w:tcBorders>
              <w:top w:val="nil"/>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墙面尺寸：6.8*2.9米  上方文字采用红色PVC厚度：2cm文化墙制作尺寸高0.5*宽6米 下方伟人介绍采用PVC厚度：1.5cm+1cm文化墙制作尺寸高1*宽6米 工艺：异型雕刻、打磨、抛光、磨边、丝印、喷漆、装饰钉等配件、安装</w:t>
            </w:r>
          </w:p>
        </w:tc>
        <w:tc>
          <w:tcPr>
            <w:tcW w:w="834" w:type="dxa"/>
            <w:tcBorders>
              <w:top w:val="nil"/>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9</w:t>
            </w:r>
          </w:p>
        </w:tc>
        <w:tc>
          <w:tcPr>
            <w:tcW w:w="702" w:type="dxa"/>
            <w:tcBorders>
              <w:top w:val="nil"/>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lang w:val="en-US" w:eastAsia="zh-CN"/>
              </w:rPr>
              <w:t>m</w:t>
            </w:r>
            <w:r>
              <w:rPr>
                <w:rFonts w:hint="eastAsia" w:ascii="宋体" w:hAnsi="宋体" w:eastAsia="宋体" w:cs="Times New Roman"/>
                <w:sz w:val="24"/>
                <w:szCs w:val="24"/>
              </w:rPr>
              <w:t>2</w:t>
            </w:r>
          </w:p>
        </w:tc>
        <w:tc>
          <w:tcPr>
            <w:tcW w:w="378" w:type="dxa"/>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229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2503办公室左面墙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思政课改革创新</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墙面尺寸：6.8*2.9米  思政课改革创新底板PVC厚度：1.5cm 颜色和底纹内容喷印 文化墙制作整体尺寸高2.2*宽6.5米 上方习主席讲话标语采用2cm金色PVC雕刻，文化墙面板文字和图案部分采用亚克力和PVC.工艺：异型雕刻、打磨、抛光、磨边、丝印、喷漆、装饰钉等配件、安装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14.3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lang w:val="en-US" w:eastAsia="zh-CN"/>
              </w:rPr>
              <w:t>m</w:t>
            </w:r>
            <w:r>
              <w:rPr>
                <w:rFonts w:hint="eastAsia" w:ascii="宋体" w:hAnsi="宋体" w:eastAsia="宋体" w:cs="Times New Roman"/>
                <w:sz w:val="24"/>
                <w:szCs w:val="24"/>
              </w:rPr>
              <w:t>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31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2503办公室前面墙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党的发</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展历程</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墙面尺寸：7.7*2.9米  整体基层PVC厚度：1.5cm 文化墙制作尺寸高1.8*宽6米 党的历史介绍展板：PVC裱户内背胶，基层面板上的部分文字和标注采用2mm亚克力雕刻，其它文字装饰部分采用1.5cmPVC雕刻，异型雕刻、打磨、抛光、磨边、喷漆、装饰钉等配件、安装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10.8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lang w:val="en-US" w:eastAsia="zh-CN"/>
              </w:rPr>
              <w:t>m</w:t>
            </w:r>
            <w:r>
              <w:rPr>
                <w:rFonts w:hint="eastAsia" w:ascii="宋体" w:hAnsi="宋体" w:eastAsia="宋体" w:cs="Times New Roman"/>
                <w:sz w:val="24"/>
                <w:szCs w:val="24"/>
              </w:rPr>
              <w:t>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228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2503办公室前面墙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马克思主义学院制度等</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墙面尺寸：7.7*2.9米  PVC厚度：1.5cm 文化墙制作尺寸高1.2*宽6米 异型雕刻、打磨、抛光、磨边、装饰钉等配件、安装，制度材质：可开启铝合金画框，内容高精度写真材质 数量：0.5*0.75米*5个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7.2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m2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104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2404办公室党建文化墙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党员义</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务等</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墙面尺寸：6.7*3.1米  党员义务等+两边标语PVC厚度：1.5cm 文化墙制作尺寸高1.2*宽3米 两边装饰：生态板制作：0.5*3.1米，异型雕刻、打磨、抛光、磨边、丝印、喷漆、装饰钉等配件、安装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项</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25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2404办公室党建文化墙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中间入党誓词文化墙</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墙面尺寸：6.7*3.1米  基层：石膏板+木龙骨+乳胶漆+面漆3色 入党誓词：1.5cm白色pvc雕刻 党徽：标志厚度2.5cm金色不锈钢 文化墙制作尺寸高3*宽3.5米 异型雕刻、打磨、抛光、磨边、装饰钉等配件、安装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10.5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m2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25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2404办公室后方面墙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中国精神+党支部工作职责</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墙面尺寸：7.7*2.9米  PVC厚度：1.5cm 文化墙制作尺寸高1.2*宽5.5米 异型雕刻、打磨、抛光、磨边、装饰钉等配件、安装，制度材质：可开启铝合金画框，内容高精度写真材质 数量：0.5*0.75米*5个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6.6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m2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143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2404办公室后方面墙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阅读文化墙</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墙面尺寸：6.7*3.1米  PVC厚度：1.5cm 文化墙制作尺寸高1*宽6.5米 异型雕刻、打磨、抛光、磨边、装饰钉等配件、安装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6.5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m2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eastAsia" w:ascii="宋体" w:hAnsi="宋体" w:eastAsia="宋体" w:cs="Times New Roman"/>
                <w:sz w:val="24"/>
                <w:szCs w:val="24"/>
              </w:rPr>
            </w:pPr>
          </w:p>
        </w:tc>
      </w:tr>
    </w:tbl>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2.文本大纲</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符合高校文化环境建设要求和学院特点，内容充实、科学合理、结构清晰、主题突出、具有独创性。</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3.方案效果图设计</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需根据采购文件要求以图文形式提供较为完整的方案。要求效果形式设计契合文化环境建设大纲，做到内容与形式的协调统一；主题表达突出，画面视觉中心明确，设计理念契合设计主题；突显特色高校文化环境建设营造，构图适度饱满、适中、完整，色彩搭配合理，点位表达充分完整；空间形态结构布局合理、转折关系明确；家具以及空间装饰的造型、轮廓、体量关系符合实际现场及学校文化环境建设氛围及美感。（提供完整设计方案一套，彩色打印并装订册）</w:t>
      </w:r>
    </w:p>
    <w:p>
      <w:pPr>
        <w:spacing w:line="360" w:lineRule="auto"/>
        <w:ind w:firstLine="480" w:firstLineChars="200"/>
        <w:rPr>
          <w:rFonts w:hint="eastAsia" w:ascii="宋体" w:hAnsi="宋体" w:eastAsia="宋体" w:cs="Times New Roman"/>
          <w:sz w:val="24"/>
          <w:szCs w:val="24"/>
        </w:rPr>
      </w:pPr>
    </w:p>
    <w:p>
      <w:pPr>
        <w:numPr>
          <w:ilvl w:val="0"/>
          <w:numId w:val="0"/>
        </w:numPr>
        <w:snapToGrid w:val="0"/>
        <w:spacing w:line="560" w:lineRule="exact"/>
        <w:ind w:leftChars="200"/>
        <w:textAlignment w:val="baseline"/>
        <w:outlineLvl w:val="1"/>
        <w:rPr>
          <w:rFonts w:hint="eastAsia" w:ascii="宋体" w:hAnsi="宋体" w:eastAsia="宋体" w:cs="仿宋"/>
          <w:b/>
          <w:bCs/>
          <w:sz w:val="28"/>
          <w:szCs w:val="24"/>
        </w:rPr>
      </w:pPr>
      <w:r>
        <w:rPr>
          <w:rFonts w:hint="eastAsia" w:ascii="宋体" w:hAnsi="宋体" w:eastAsia="宋体" w:cs="仿宋"/>
          <w:b/>
          <w:bCs/>
          <w:sz w:val="28"/>
          <w:szCs w:val="24"/>
        </w:rPr>
        <w:t>三、</w:t>
      </w:r>
      <w:r>
        <w:rPr>
          <w:rFonts w:hint="eastAsia" w:ascii="宋体" w:hAnsi="宋体" w:eastAsia="宋体" w:cs="仿宋"/>
          <w:b/>
          <w:bCs/>
          <w:sz w:val="28"/>
          <w:szCs w:val="24"/>
          <w:lang w:eastAsia="zh-CN"/>
        </w:rPr>
        <w:t>服务</w:t>
      </w:r>
      <w:r>
        <w:rPr>
          <w:rFonts w:hint="eastAsia" w:ascii="宋体" w:hAnsi="宋体" w:eastAsia="宋体" w:cs="仿宋"/>
          <w:b/>
          <w:bCs/>
          <w:sz w:val="28"/>
          <w:szCs w:val="24"/>
        </w:rPr>
        <w:t>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（一）工程质量要求（含质保）</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工程质量达到采购单位的设计使用功能，且达到国家现行《工程施工质量验收规范》及《建筑装饰装修工程质量验收规范》标准合格标准，符合现行国家施工验收规范、建筑工程质量验收标准、质量评定标准及其他相关法律、法规当地行政主管部门颁发的有关文件要求。双方对工程质量有争议，由双方同意的工程质量检测机构鉴定，所需费用及因此造成的损失，由责任方承担。发包人有权对材料、半成品、成品等进行随机抽查，承包人应积极配合。</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2.供应商所投产品须满足国家质量标准，并且是全新的、未使用过的、原装合格正品。</w:t>
      </w:r>
    </w:p>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（二）安全责任</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1.工程在运输、安装、调试、施工等整个工程活动期间，在工程实施地点范围内，运输道路所有安全责任由供应商负责。</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供应商按有关规定，采取严格的安全措施。承担由于自身安全措施不力造成事故的责任和因此发生的费用，非供应商责任造成的伤亡事故、由责任方承担责任和有关费用。发生重大伤亡事故，供应商应按有关规定立即上报有关部门并通知采购人。同时按政府有关部门要求处理。采购人为抢救提供必要条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（三）其他服务要求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1.对施工现场交通和噪音的要求：遵守地方政府和有关部门对施工场地交通和施工噪音等管理规定。</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2.施工场地整洁卫生的要求：保证施工现场清洁符合有关规定。</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3.保护建筑物结构及相应管线和设备的措施：造成学校墙面、地面、木质平台等构筑物损坏的，要在采购人规定期限内进行修复。</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 质保期内提供免费</w:t>
      </w:r>
      <w:r>
        <w:rPr>
          <w:rFonts w:hint="eastAsia" w:ascii="宋体" w:hAnsi="宋体" w:eastAsia="宋体" w:cs="Times New Roman"/>
          <w:sz w:val="24"/>
          <w:szCs w:val="24"/>
          <w:lang w:eastAsia="zh-CN"/>
        </w:rPr>
        <w:t>的</w:t>
      </w:r>
      <w:r>
        <w:rPr>
          <w:rFonts w:hint="eastAsia" w:ascii="宋体" w:hAnsi="宋体" w:eastAsia="宋体" w:cs="Times New Roman"/>
          <w:sz w:val="24"/>
          <w:szCs w:val="24"/>
        </w:rPr>
        <w:t>售后服务和技术支持服务。</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（四）工程质量保修要求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4.1缺陷责任期：12个月（从本项目最终竣工验收合格之日起计算）</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4.2工程质量保修期：不低于1年（从本项目最终竣工验收合格之日起计算）</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4.3施工质量标准：符合施工规范及验收标准。</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4.4材料质量要求：同材质修复，修旧如旧，满足设计及相关质量标准的要求。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（五）验收要求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5.1验收要求：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5.1.1本项目按照</w:t>
      </w:r>
      <w:r>
        <w:rPr>
          <w:rFonts w:hint="eastAsia" w:ascii="宋体" w:hAnsi="宋体" w:eastAsia="宋体" w:cs="Times New Roman"/>
          <w:sz w:val="24"/>
          <w:szCs w:val="24"/>
          <w:lang w:val="en-US" w:eastAsia="zh-CN"/>
        </w:rPr>
        <w:t>四川铁道职业学院</w:t>
      </w:r>
      <w:r>
        <w:rPr>
          <w:rFonts w:hint="eastAsia" w:ascii="宋体" w:hAnsi="宋体" w:eastAsia="宋体" w:cs="Times New Roman"/>
          <w:sz w:val="24"/>
          <w:szCs w:val="24"/>
        </w:rPr>
        <w:t>《货物与服务验收管理办法》进行验收。</w:t>
      </w:r>
    </w:p>
    <w:p>
      <w:pPr>
        <w:spacing w:line="360" w:lineRule="auto"/>
        <w:ind w:firstLine="480" w:firstLineChars="200"/>
        <w:rPr>
          <w:rFonts w:hint="eastAsia" w:ascii="宋体" w:hAnsi="宋体" w:eastAsia="宋体" w:cs="Times New Roman"/>
          <w:sz w:val="24"/>
          <w:szCs w:val="24"/>
        </w:rPr>
      </w:pPr>
    </w:p>
    <w:p>
      <w:pPr>
        <w:numPr>
          <w:ilvl w:val="0"/>
          <w:numId w:val="0"/>
        </w:numPr>
        <w:snapToGrid w:val="0"/>
        <w:spacing w:line="560" w:lineRule="exact"/>
        <w:ind w:leftChars="200"/>
        <w:textAlignment w:val="baseline"/>
        <w:outlineLvl w:val="1"/>
        <w:rPr>
          <w:rFonts w:hint="eastAsia" w:ascii="宋体" w:hAnsi="宋体" w:eastAsia="宋体" w:cs="仿宋"/>
          <w:b/>
          <w:bCs/>
          <w:sz w:val="28"/>
          <w:szCs w:val="24"/>
        </w:rPr>
      </w:pPr>
      <w:r>
        <w:rPr>
          <w:rFonts w:hint="eastAsia" w:ascii="宋体" w:hAnsi="宋体" w:eastAsia="宋体" w:cs="仿宋"/>
          <w:b/>
          <w:bCs/>
          <w:sz w:val="28"/>
          <w:szCs w:val="24"/>
          <w:lang w:eastAsia="zh-CN"/>
        </w:rPr>
        <w:t>四</w:t>
      </w:r>
      <w:r>
        <w:rPr>
          <w:rFonts w:hint="eastAsia" w:ascii="宋体" w:hAnsi="宋体" w:eastAsia="宋体" w:cs="仿宋"/>
          <w:b/>
          <w:bCs/>
          <w:sz w:val="28"/>
          <w:szCs w:val="24"/>
        </w:rPr>
        <w:t>、商务要求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1.工程时间及工期要求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★1.1合同签订后接到采购人书面通知（开工令）之日起5日历天内开工，7日历天内竣工。</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1.2总日历工期天数：7日历天；</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1.2.1 设计工期天数：3日历天；</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1.2.2 施工工期天数：10日历天；</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.付款方式和条件：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本项目无预付款，施工完成并验收合格后10日内向中标单位支付全部款项。</w:t>
      </w:r>
    </w:p>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六、解决争议的方式</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1.成交后履约期间,若双方发生争议，双方应通过友好协商解决，经协商不能达成协议时，应向采购人所在地当地的人民法院提起诉讼。</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2.在诉讼期间，除正在进行诉讼的部分外，合同其他部分继续执行。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四、现场踏勘</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如供应商需对现场勘察请自行前往采购人处（地址：四川省成都市郫都区安德街道彭温路399号）进行现场勘查。</w:t>
      </w:r>
    </w:p>
    <w:p>
      <w:pPr>
        <w:pStyle w:val="2"/>
        <w:rPr>
          <w:rFonts w:hint="eastAsia"/>
        </w:rPr>
      </w:pPr>
    </w:p>
    <w:p>
      <w:pPr>
        <w:ind w:firstLine="2168" w:firstLineChars="600"/>
        <w:jc w:val="both"/>
        <w:rPr>
          <w:rFonts w:ascii="宋体" w:hAnsi="宋体" w:eastAsia="宋体"/>
          <w:b/>
          <w:color w:val="000000"/>
          <w:sz w:val="36"/>
          <w:szCs w:val="36"/>
        </w:rPr>
      </w:pPr>
      <w:r>
        <w:rPr>
          <w:rFonts w:hint="eastAsia" w:ascii="宋体" w:hAnsi="宋体" w:eastAsia="宋体"/>
          <w:b/>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23"/>
        <w:tblpPr w:leftFromText="180" w:rightFromText="180" w:vertAnchor="text" w:horzAnchor="page" w:tblpX="1086" w:tblpY="568"/>
        <w:tblOverlap w:val="never"/>
        <w:tblW w:w="9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610"/>
        <w:gridCol w:w="6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656" w:type="dxa"/>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1610" w:type="dxa"/>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评分项目</w:t>
            </w:r>
          </w:p>
          <w:p>
            <w:pPr>
              <w:spacing w:line="360" w:lineRule="auto"/>
              <w:jc w:val="center"/>
              <w:rPr>
                <w:rFonts w:hint="eastAsia" w:ascii="宋体" w:hAnsi="宋体" w:eastAsia="宋体"/>
                <w:sz w:val="24"/>
                <w:szCs w:val="24"/>
              </w:rPr>
            </w:pPr>
            <w:r>
              <w:rPr>
                <w:rFonts w:hint="eastAsia" w:ascii="宋体" w:hAnsi="宋体" w:eastAsia="宋体"/>
                <w:sz w:val="24"/>
                <w:szCs w:val="24"/>
              </w:rPr>
              <w:t>及分值</w:t>
            </w:r>
          </w:p>
        </w:tc>
        <w:tc>
          <w:tcPr>
            <w:tcW w:w="6927" w:type="dxa"/>
            <w:vAlign w:val="center"/>
          </w:tcPr>
          <w:p>
            <w:pPr>
              <w:spacing w:line="360" w:lineRule="auto"/>
              <w:ind w:firstLine="470" w:firstLineChars="196"/>
              <w:jc w:val="center"/>
              <w:rPr>
                <w:rFonts w:hint="eastAsia" w:ascii="宋体" w:hAnsi="宋体" w:eastAsia="宋体"/>
                <w:sz w:val="24"/>
                <w:szCs w:val="24"/>
              </w:rPr>
            </w:pPr>
            <w:r>
              <w:rPr>
                <w:rFonts w:hint="eastAsia" w:ascii="宋体" w:hAnsi="宋体" w:eastAsia="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1</w:t>
            </w:r>
          </w:p>
        </w:tc>
        <w:tc>
          <w:tcPr>
            <w:tcW w:w="1610" w:type="dxa"/>
            <w:vAlign w:val="center"/>
          </w:tcPr>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报价</w:t>
            </w:r>
          </w:p>
          <w:p>
            <w:pPr>
              <w:spacing w:line="360" w:lineRule="auto"/>
              <w:rPr>
                <w:rFonts w:hint="eastAsia" w:ascii="宋体" w:hAnsi="宋体" w:eastAsia="宋体"/>
                <w:sz w:val="24"/>
                <w:szCs w:val="24"/>
              </w:rPr>
            </w:pPr>
            <w:r>
              <w:rPr>
                <w:rFonts w:hint="eastAsia" w:ascii="宋体" w:hAnsi="宋体" w:eastAsia="宋体"/>
                <w:sz w:val="24"/>
                <w:szCs w:val="24"/>
              </w:rPr>
              <w:t>（共30分）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rPr>
              <w:t>满足招标文件要求且报价最低的供应商的价格为基准价，其价格分为满分。评分的取值按四舍五入法，保留小数点后两位。其</w:t>
            </w:r>
            <w:r>
              <w:rPr>
                <w:rFonts w:hint="eastAsia" w:ascii="宋体" w:hAnsi="宋体" w:eastAsia="宋体"/>
                <w:sz w:val="24"/>
                <w:szCs w:val="24"/>
                <w:lang w:eastAsia="zh-CN"/>
              </w:rPr>
              <w:t>它</w:t>
            </w:r>
            <w:r>
              <w:rPr>
                <w:rFonts w:hint="eastAsia" w:ascii="宋体" w:hAnsi="宋体" w:eastAsia="宋体"/>
                <w:sz w:val="24"/>
                <w:szCs w:val="24"/>
              </w:rPr>
              <w:t>价格</w:t>
            </w:r>
            <w:r>
              <w:rPr>
                <w:rFonts w:hint="eastAsia" w:ascii="宋体" w:hAnsi="宋体" w:eastAsia="宋体"/>
                <w:sz w:val="24"/>
                <w:szCs w:val="24"/>
                <w:lang w:eastAsia="zh-CN"/>
              </w:rPr>
              <w:t>得</w:t>
            </w:r>
            <w:r>
              <w:rPr>
                <w:rFonts w:hint="eastAsia" w:ascii="宋体" w:hAnsi="宋体" w:eastAsia="宋体"/>
                <w:sz w:val="24"/>
                <w:szCs w:val="24"/>
              </w:rPr>
              <w:t>分按照下列公式计算：</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报价得分=（评标基准价/投标报价）*价格权值。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2</w:t>
            </w:r>
          </w:p>
        </w:tc>
        <w:tc>
          <w:tcPr>
            <w:tcW w:w="1610"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设计方案</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（40分）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rPr>
              <w:t>需结合高校展示需求和各学院特点，进行方案效果图设计，根据采购文件要求以图文形式提供完整的方案。</w:t>
            </w:r>
          </w:p>
          <w:p>
            <w:pPr>
              <w:spacing w:line="360" w:lineRule="auto"/>
              <w:rPr>
                <w:rFonts w:hint="eastAsia" w:ascii="宋体" w:hAnsi="宋体" w:eastAsia="宋体"/>
                <w:sz w:val="24"/>
                <w:szCs w:val="24"/>
              </w:rPr>
            </w:pPr>
            <w:r>
              <w:rPr>
                <w:rFonts w:hint="eastAsia" w:ascii="宋体" w:hAnsi="宋体" w:eastAsia="宋体"/>
                <w:sz w:val="24"/>
                <w:szCs w:val="24"/>
              </w:rPr>
              <w:t>评审小组根据以下评分标准进行评审：</w:t>
            </w:r>
          </w:p>
          <w:p>
            <w:pPr>
              <w:spacing w:line="360" w:lineRule="auto"/>
              <w:rPr>
                <w:rFonts w:hint="eastAsia" w:ascii="宋体" w:hAnsi="宋体" w:eastAsia="宋体"/>
                <w:sz w:val="24"/>
                <w:szCs w:val="24"/>
              </w:rPr>
            </w:pPr>
            <w:r>
              <w:rPr>
                <w:rFonts w:hint="eastAsia" w:ascii="宋体" w:hAnsi="宋体" w:eastAsia="宋体"/>
                <w:sz w:val="24"/>
                <w:szCs w:val="24"/>
              </w:rPr>
              <w:t>方案效果图设计要求包括但不限于以下要素：</w:t>
            </w:r>
          </w:p>
          <w:p>
            <w:pPr>
              <w:spacing w:line="360" w:lineRule="auto"/>
              <w:rPr>
                <w:rFonts w:hint="eastAsia" w:ascii="宋体" w:hAnsi="宋体" w:eastAsia="宋体"/>
                <w:sz w:val="24"/>
                <w:szCs w:val="24"/>
              </w:rPr>
            </w:pPr>
            <w:r>
              <w:rPr>
                <w:rFonts w:hint="eastAsia" w:ascii="宋体" w:hAnsi="宋体" w:eastAsia="宋体"/>
                <w:sz w:val="24"/>
                <w:szCs w:val="24"/>
              </w:rPr>
              <w:t>1、效果形式设计契合文化环境建设大纲，做到内容与形式的高度统一、协调；</w:t>
            </w:r>
          </w:p>
          <w:p>
            <w:pPr>
              <w:spacing w:line="360" w:lineRule="auto"/>
              <w:rPr>
                <w:rFonts w:hint="eastAsia" w:ascii="宋体" w:hAnsi="宋体" w:eastAsia="宋体"/>
                <w:sz w:val="24"/>
                <w:szCs w:val="24"/>
              </w:rPr>
            </w:pPr>
            <w:r>
              <w:rPr>
                <w:rFonts w:hint="eastAsia" w:ascii="宋体" w:hAnsi="宋体" w:eastAsia="宋体"/>
                <w:sz w:val="24"/>
                <w:szCs w:val="24"/>
              </w:rPr>
              <w:t>2、主题表达突出，画面视觉中心明确，设计理念契合设计主题；</w:t>
            </w:r>
          </w:p>
          <w:p>
            <w:pPr>
              <w:spacing w:line="360" w:lineRule="auto"/>
              <w:rPr>
                <w:rFonts w:hint="eastAsia" w:ascii="宋体" w:hAnsi="宋体" w:eastAsia="宋体"/>
                <w:sz w:val="24"/>
                <w:szCs w:val="24"/>
              </w:rPr>
            </w:pPr>
            <w:r>
              <w:rPr>
                <w:rFonts w:hint="eastAsia" w:ascii="宋体" w:hAnsi="宋体" w:eastAsia="宋体"/>
                <w:sz w:val="24"/>
                <w:szCs w:val="24"/>
              </w:rPr>
              <w:t>3、突显特色高校文化环境建设营造，构图适度饱满、适中、完整，色彩搭配合理，点位表达充分完整；</w:t>
            </w:r>
          </w:p>
          <w:p>
            <w:pPr>
              <w:spacing w:line="360" w:lineRule="auto"/>
              <w:rPr>
                <w:rFonts w:hint="eastAsia" w:ascii="宋体" w:hAnsi="宋体" w:eastAsia="宋体"/>
                <w:sz w:val="24"/>
                <w:szCs w:val="24"/>
              </w:rPr>
            </w:pPr>
            <w:r>
              <w:rPr>
                <w:rFonts w:hint="eastAsia" w:ascii="宋体" w:hAnsi="宋体" w:eastAsia="宋体"/>
                <w:sz w:val="24"/>
                <w:szCs w:val="24"/>
              </w:rPr>
              <w:t>4、空间形态结构布局合理、转折关系明确；</w:t>
            </w:r>
          </w:p>
          <w:p>
            <w:pPr>
              <w:spacing w:line="360" w:lineRule="auto"/>
              <w:rPr>
                <w:rFonts w:hint="eastAsia" w:ascii="宋体" w:hAnsi="宋体" w:eastAsia="宋体"/>
                <w:sz w:val="24"/>
                <w:szCs w:val="24"/>
              </w:rPr>
            </w:pPr>
            <w:r>
              <w:rPr>
                <w:rFonts w:hint="eastAsia" w:ascii="宋体" w:hAnsi="宋体" w:eastAsia="宋体"/>
                <w:sz w:val="24"/>
                <w:szCs w:val="24"/>
              </w:rPr>
              <w:t>5、空间装饰的造型、轮廓、体量关系符合实际现场及学校文化环境建设氛围及其美感。</w:t>
            </w:r>
          </w:p>
          <w:p>
            <w:pPr>
              <w:spacing w:line="360" w:lineRule="auto"/>
              <w:rPr>
                <w:rFonts w:hint="eastAsia" w:ascii="宋体" w:hAnsi="宋体" w:eastAsia="宋体"/>
                <w:sz w:val="24"/>
                <w:szCs w:val="24"/>
              </w:rPr>
            </w:pPr>
            <w:r>
              <w:rPr>
                <w:rFonts w:hint="eastAsia" w:ascii="宋体" w:hAnsi="宋体" w:eastAsia="宋体"/>
                <w:sz w:val="24"/>
                <w:szCs w:val="24"/>
              </w:rPr>
              <w:t>完全满足上述要求得40分，有一项不满足上述要求的扣8分。</w:t>
            </w:r>
          </w:p>
          <w:p>
            <w:pPr>
              <w:spacing w:line="360" w:lineRule="auto"/>
              <w:rPr>
                <w:rFonts w:hint="eastAsia" w:ascii="宋体" w:hAnsi="宋体"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656" w:type="dxa"/>
            <w:vAlign w:val="center"/>
          </w:tcPr>
          <w:p>
            <w:pPr>
              <w:spacing w:line="360" w:lineRule="auto"/>
              <w:ind w:firstLine="470" w:firstLineChars="196"/>
              <w:rPr>
                <w:rFonts w:hint="eastAsia" w:ascii="宋体" w:hAnsi="宋体" w:eastAsia="宋体"/>
                <w:sz w:val="24"/>
                <w:szCs w:val="24"/>
              </w:rPr>
            </w:pP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3</w:t>
            </w:r>
          </w:p>
        </w:tc>
        <w:tc>
          <w:tcPr>
            <w:tcW w:w="1610"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施工方案</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（8分）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rPr>
              <w:t>供应商根据本项目特点提供项目施工方案,方案包括但不限于：1、项目实施进度措施；2、项目人员配置；3、项目质量措施；4、后续保障措施等内容。上述内容均符合实际情况、内容完善详细、描述准确、完全响应本项目要求的8分，每有一项缺项或方案脱离实际或不满足要求的扣2分。扣完本项分值为止。</w:t>
            </w:r>
          </w:p>
          <w:p>
            <w:pPr>
              <w:spacing w:line="360" w:lineRule="auto"/>
              <w:rPr>
                <w:rFonts w:hint="eastAsia"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4</w:t>
            </w:r>
          </w:p>
        </w:tc>
        <w:tc>
          <w:tcPr>
            <w:tcW w:w="1610" w:type="dxa"/>
            <w:vAlign w:val="center"/>
          </w:tcPr>
          <w:p>
            <w:pPr>
              <w:spacing w:line="360" w:lineRule="auto"/>
              <w:rPr>
                <w:rFonts w:hint="eastAsia" w:ascii="宋体" w:hAnsi="宋体" w:eastAsia="宋体"/>
                <w:sz w:val="24"/>
                <w:szCs w:val="24"/>
              </w:rPr>
            </w:pPr>
            <w:r>
              <w:rPr>
                <w:rFonts w:hint="eastAsia" w:ascii="宋体" w:hAnsi="宋体" w:eastAsia="宋体"/>
                <w:sz w:val="24"/>
                <w:szCs w:val="24"/>
              </w:rPr>
              <w:t>质量保障措施</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（2分）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rPr>
              <w:t>供应商根据本项目特点提供项目质量保障措施,质量措施包括但不限于：1、产品质量保障措施、2、产品安装质量保障措施、上述内容均符合实际情况、内容完善详细、描述准确、完全响应本项目要求的</w:t>
            </w:r>
            <w:r>
              <w:rPr>
                <w:rFonts w:hint="eastAsia" w:ascii="宋体" w:hAnsi="宋体" w:eastAsia="宋体"/>
                <w:sz w:val="24"/>
                <w:szCs w:val="24"/>
                <w:lang w:eastAsia="zh-CN"/>
              </w:rPr>
              <w:t>得</w:t>
            </w:r>
            <w:r>
              <w:rPr>
                <w:rFonts w:hint="eastAsia" w:ascii="宋体" w:hAnsi="宋体" w:eastAsia="宋体"/>
                <w:sz w:val="24"/>
                <w:szCs w:val="24"/>
              </w:rPr>
              <w:t>2分，每有一项缺项或方案脱离实际或不满足要求的扣1分。扣完本项分值为止。</w:t>
            </w:r>
          </w:p>
          <w:p>
            <w:pPr>
              <w:spacing w:line="360" w:lineRule="auto"/>
              <w:rPr>
                <w:rFonts w:hint="eastAsia"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5</w:t>
            </w:r>
          </w:p>
        </w:tc>
        <w:tc>
          <w:tcPr>
            <w:tcW w:w="1610" w:type="dxa"/>
            <w:vAlign w:val="center"/>
          </w:tcPr>
          <w:p>
            <w:pPr>
              <w:spacing w:line="360" w:lineRule="auto"/>
              <w:rPr>
                <w:rFonts w:hint="eastAsia" w:ascii="宋体" w:hAnsi="宋体" w:eastAsia="宋体"/>
                <w:sz w:val="24"/>
                <w:szCs w:val="24"/>
              </w:rPr>
            </w:pPr>
            <w:r>
              <w:rPr>
                <w:rFonts w:hint="eastAsia" w:ascii="宋体" w:hAnsi="宋体" w:eastAsia="宋体"/>
                <w:sz w:val="24"/>
                <w:szCs w:val="24"/>
              </w:rPr>
              <w:t>安全保证措施</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（2分）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rPr>
              <w:t>供应商根据本项目特点提供项目安全保障措施,措施包括但不限于：1、有关于本项目安全管理体系或标准的；2、有针对本项目特点对各道工序有安全技术措施针对性强且合理的；有任意一项内容缺失或不满足上述要求的扣 1 分，扣完为止；未提供不得分。</w:t>
            </w:r>
          </w:p>
          <w:p>
            <w:pPr>
              <w:spacing w:line="360" w:lineRule="auto"/>
              <w:rPr>
                <w:rFonts w:hint="eastAsia"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6</w:t>
            </w:r>
          </w:p>
        </w:tc>
        <w:tc>
          <w:tcPr>
            <w:tcW w:w="1610" w:type="dxa"/>
            <w:vAlign w:val="center"/>
          </w:tcPr>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业绩</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（12分）</w:t>
            </w:r>
          </w:p>
        </w:tc>
        <w:tc>
          <w:tcPr>
            <w:tcW w:w="6927" w:type="dxa"/>
          </w:tcPr>
          <w:p>
            <w:pPr>
              <w:spacing w:line="360" w:lineRule="auto"/>
              <w:rPr>
                <w:rFonts w:hint="eastAsia" w:ascii="宋体" w:hAnsi="宋体" w:eastAsia="宋体"/>
                <w:sz w:val="24"/>
                <w:szCs w:val="24"/>
                <w:lang w:eastAsia="zh-CN"/>
              </w:rPr>
            </w:pPr>
            <w:r>
              <w:rPr>
                <w:rFonts w:hint="eastAsia" w:ascii="宋体" w:hAnsi="宋体" w:eastAsia="宋体"/>
                <w:sz w:val="24"/>
                <w:szCs w:val="24"/>
              </w:rPr>
              <w:t>供应商应提供有自2020年1月1日以来相关的项目业绩，每有一项得3分，最多得12分</w:t>
            </w:r>
            <w:r>
              <w:rPr>
                <w:rFonts w:hint="eastAsia" w:ascii="宋体" w:hAnsi="宋体" w:eastAsia="宋体"/>
                <w:sz w:val="24"/>
                <w:szCs w:val="24"/>
                <w:lang w:eastAsia="zh-CN"/>
              </w:rPr>
              <w:t>。</w:t>
            </w:r>
          </w:p>
          <w:p>
            <w:pPr>
              <w:spacing w:line="360" w:lineRule="auto"/>
              <w:rPr>
                <w:rFonts w:hint="eastAsia" w:ascii="宋体" w:hAnsi="宋体" w:eastAsia="宋体"/>
                <w:sz w:val="24"/>
                <w:szCs w:val="24"/>
              </w:rPr>
            </w:pPr>
            <w:r>
              <w:rPr>
                <w:rFonts w:hint="eastAsia" w:ascii="宋体" w:hAnsi="宋体" w:eastAsia="宋体"/>
                <w:sz w:val="24"/>
                <w:szCs w:val="24"/>
              </w:rPr>
              <w:t>（说明：提供中标/成交通知书或合同复印件并加盖公章等证明材料、原件备查）。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7</w:t>
            </w:r>
          </w:p>
        </w:tc>
        <w:tc>
          <w:tcPr>
            <w:tcW w:w="1610" w:type="dxa"/>
            <w:vAlign w:val="center"/>
          </w:tcPr>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服务承诺</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（4分）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rPr>
              <w:t>供应商根据本项目特点提供项目服务承诺,承诺包括但不限于：1、提供关于本项目设计时间服务承诺；2、提供生产周期服务承诺；</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3、提供安装周期及安装质量服务承诺；</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4、提供产品质量保证期限及质量保证的范围等承诺。</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有任意一项内容缺失或不满足上述要求的扣 1 分，扣完为止；未提供不得分。</w:t>
            </w:r>
          </w:p>
          <w:p>
            <w:pPr>
              <w:spacing w:line="360" w:lineRule="auto"/>
              <w:rPr>
                <w:rFonts w:hint="eastAsia"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656" w:type="dxa"/>
            <w:vAlign w:val="center"/>
          </w:tcPr>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8</w:t>
            </w:r>
          </w:p>
        </w:tc>
        <w:tc>
          <w:tcPr>
            <w:tcW w:w="1610" w:type="dxa"/>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响应文件</w:t>
            </w:r>
          </w:p>
          <w:p>
            <w:pPr>
              <w:spacing w:line="360" w:lineRule="auto"/>
              <w:jc w:val="center"/>
              <w:rPr>
                <w:rFonts w:hint="eastAsia" w:ascii="宋体" w:hAnsi="宋体" w:eastAsia="宋体"/>
                <w:sz w:val="24"/>
                <w:szCs w:val="24"/>
              </w:rPr>
            </w:pPr>
            <w:r>
              <w:rPr>
                <w:rFonts w:hint="eastAsia" w:ascii="宋体" w:hAnsi="宋体" w:eastAsia="宋体"/>
                <w:sz w:val="24"/>
                <w:szCs w:val="24"/>
              </w:rPr>
              <w:t>规范性</w:t>
            </w:r>
          </w:p>
          <w:p>
            <w:pPr>
              <w:spacing w:line="360" w:lineRule="auto"/>
              <w:ind w:firstLine="240" w:firstLineChars="100"/>
              <w:jc w:val="both"/>
              <w:rPr>
                <w:rFonts w:hint="eastAsia" w:ascii="宋体" w:hAnsi="宋体" w:eastAsia="宋体"/>
                <w:sz w:val="24"/>
                <w:szCs w:val="24"/>
              </w:rPr>
            </w:pPr>
            <w:r>
              <w:rPr>
                <w:rFonts w:hint="eastAsia" w:ascii="宋体" w:hAnsi="宋体" w:eastAsia="宋体"/>
                <w:sz w:val="24"/>
                <w:szCs w:val="24"/>
              </w:rPr>
              <w:t>（2分）</w:t>
            </w:r>
          </w:p>
        </w:tc>
        <w:tc>
          <w:tcPr>
            <w:tcW w:w="6927" w:type="dxa"/>
          </w:tcPr>
          <w:p>
            <w:pPr>
              <w:spacing w:line="360" w:lineRule="auto"/>
              <w:rPr>
                <w:rFonts w:hint="eastAsia" w:ascii="宋体" w:hAnsi="宋体" w:eastAsia="宋体"/>
                <w:sz w:val="24"/>
                <w:szCs w:val="24"/>
              </w:rPr>
            </w:pPr>
            <w:r>
              <w:rPr>
                <w:rFonts w:hint="eastAsia" w:ascii="宋体" w:hAnsi="宋体" w:eastAsia="宋体"/>
                <w:sz w:val="24"/>
                <w:szCs w:val="24"/>
                <w:lang w:eastAsia="zh-CN"/>
              </w:rPr>
              <w:t>响应文件规范有序指的</w:t>
            </w:r>
            <w:r>
              <w:rPr>
                <w:rFonts w:hint="eastAsia" w:ascii="宋体" w:hAnsi="宋体" w:eastAsia="宋体"/>
                <w:sz w:val="24"/>
                <w:szCs w:val="24"/>
              </w:rPr>
              <w:t>括但不限于</w:t>
            </w:r>
            <w:r>
              <w:rPr>
                <w:rFonts w:hint="eastAsia" w:ascii="宋体" w:hAnsi="宋体" w:eastAsia="宋体"/>
                <w:sz w:val="24"/>
                <w:szCs w:val="24"/>
                <w:lang w:eastAsia="zh-CN"/>
              </w:rPr>
              <w:t>：响</w:t>
            </w:r>
            <w:r>
              <w:rPr>
                <w:rFonts w:hint="eastAsia" w:ascii="宋体" w:hAnsi="宋体" w:eastAsia="宋体"/>
                <w:sz w:val="24"/>
                <w:szCs w:val="24"/>
              </w:rPr>
              <w:t>应文件</w:t>
            </w:r>
            <w:r>
              <w:rPr>
                <w:rFonts w:hint="eastAsia" w:ascii="宋体" w:hAnsi="宋体" w:eastAsia="宋体"/>
                <w:sz w:val="24"/>
                <w:szCs w:val="24"/>
                <w:lang w:eastAsia="zh-CN"/>
              </w:rPr>
              <w:t>应标题规范、字迹清晰、目录有序、页码规范、响应文件整洁无污渍等；</w:t>
            </w:r>
            <w:r>
              <w:rPr>
                <w:rFonts w:hint="eastAsia" w:ascii="宋体" w:hAnsi="宋体" w:eastAsia="宋体"/>
                <w:sz w:val="24"/>
                <w:szCs w:val="24"/>
              </w:rPr>
              <w:t>没有细微偏差得2分。有一项细微偏差情形的扣0.5分，直至该项分值扣完为止。</w:t>
            </w:r>
          </w:p>
          <w:p>
            <w:pPr>
              <w:spacing w:line="360" w:lineRule="auto"/>
              <w:rPr>
                <w:rFonts w:hint="eastAsia" w:ascii="宋体" w:hAnsi="宋体" w:eastAsia="宋体"/>
                <w:sz w:val="24"/>
                <w:szCs w:val="24"/>
              </w:rPr>
            </w:pPr>
            <w:r>
              <w:rPr>
                <w:rFonts w:hint="eastAsia" w:ascii="宋体" w:hAnsi="宋体" w:eastAsia="宋体"/>
                <w:b/>
                <w:bCs/>
                <w:sz w:val="24"/>
                <w:szCs w:val="24"/>
              </w:rPr>
              <w:t>注：以评审专家结合项目实际情况和响应文件独立评审为准。</w:t>
            </w:r>
          </w:p>
        </w:tc>
      </w:tr>
    </w:tbl>
    <w:p>
      <w:pPr>
        <w:pStyle w:val="2"/>
      </w:pPr>
    </w:p>
    <w:p>
      <w:pPr>
        <w:rPr>
          <w:rFonts w:ascii="宋体" w:hAnsi="宋体" w:eastAsia="宋体" w:cs="仿宋"/>
          <w:sz w:val="24"/>
          <w:szCs w:val="24"/>
        </w:rPr>
      </w:pPr>
    </w:p>
    <w:p>
      <w:pPr>
        <w:jc w:val="center"/>
        <w:rPr>
          <w:rFonts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pStyle w:val="2"/>
        <w:rPr>
          <w:rFonts w:hint="eastAsia" w:ascii="宋体" w:hAnsi="宋体" w:eastAsia="宋体"/>
          <w:b/>
          <w:color w:val="000000"/>
          <w:sz w:val="36"/>
          <w:szCs w:val="36"/>
        </w:rPr>
      </w:pPr>
    </w:p>
    <w:p>
      <w:pPr>
        <w:rPr>
          <w:rFonts w:hint="eastAsia" w:ascii="宋体" w:hAnsi="宋体" w:eastAsia="宋体"/>
          <w:b/>
          <w:color w:val="000000"/>
          <w:sz w:val="36"/>
          <w:szCs w:val="36"/>
        </w:rPr>
      </w:pPr>
    </w:p>
    <w:p>
      <w:pPr>
        <w:pStyle w:val="2"/>
        <w:rPr>
          <w:rFonts w:hint="eastAsia"/>
        </w:rPr>
      </w:pPr>
    </w:p>
    <w:p>
      <w:pPr>
        <w:jc w:val="center"/>
        <w:rPr>
          <w:rFonts w:hint="eastAsia" w:ascii="宋体" w:hAnsi="宋体" w:eastAsia="宋体"/>
          <w:b/>
          <w:color w:val="000000"/>
          <w:sz w:val="36"/>
          <w:szCs w:val="36"/>
        </w:rPr>
      </w:pPr>
    </w:p>
    <w:p>
      <w:pPr>
        <w:jc w:val="center"/>
        <w:rPr>
          <w:rFonts w:hint="eastAsia" w:ascii="宋体" w:hAnsi="宋体" w:eastAsia="宋体"/>
          <w:b/>
          <w:color w:val="000000"/>
          <w:sz w:val="36"/>
          <w:szCs w:val="36"/>
        </w:rPr>
      </w:pPr>
    </w:p>
    <w:p>
      <w:pPr>
        <w:ind w:firstLine="361" w:firstLineChars="100"/>
        <w:jc w:val="both"/>
        <w:rPr>
          <w:rFonts w:hint="eastAsia" w:ascii="宋体" w:hAnsi="宋体" w:eastAsia="宋体"/>
          <w:b/>
          <w:color w:val="000000"/>
          <w:sz w:val="36"/>
          <w:szCs w:val="36"/>
        </w:rPr>
      </w:pPr>
    </w:p>
    <w:p>
      <w:pPr>
        <w:ind w:firstLine="2168" w:firstLineChars="600"/>
        <w:jc w:val="both"/>
        <w:rPr>
          <w:rFonts w:hint="eastAsia" w:ascii="宋体" w:hAnsi="宋体" w:eastAsia="宋体"/>
          <w:b/>
          <w:color w:val="000000"/>
          <w:sz w:val="36"/>
          <w:szCs w:val="36"/>
        </w:rPr>
      </w:pPr>
    </w:p>
    <w:p>
      <w:pPr>
        <w:ind w:firstLine="2168" w:firstLineChars="600"/>
        <w:jc w:val="both"/>
        <w:rPr>
          <w:rFonts w:ascii="宋体" w:hAnsi="宋体" w:eastAsia="宋体"/>
          <w:b/>
          <w:color w:val="000000"/>
          <w:sz w:val="36"/>
          <w:szCs w:val="36"/>
        </w:rPr>
      </w:pPr>
      <w:r>
        <w:rPr>
          <w:rFonts w:hint="eastAsia" w:ascii="宋体" w:hAnsi="宋体" w:eastAsia="宋体"/>
          <w:b/>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3"/>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5"/>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4"/>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4"/>
        <w:spacing w:line="400" w:lineRule="exact"/>
        <w:ind w:firstLine="0"/>
        <w:rPr>
          <w:rFonts w:ascii="宋体" w:hAnsi="宋体" w:eastAsia="宋体"/>
          <w:bCs/>
          <w:sz w:val="24"/>
          <w:szCs w:val="24"/>
        </w:rPr>
      </w:pPr>
    </w:p>
    <w:p>
      <w:pPr>
        <w:pStyle w:val="14"/>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5"/>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3"/>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w:pict>
          <v:shape id="_x0000_s1026" o:spid="_x0000_s1026" o:spt="202" type="#_x0000_t202" style="position:absolute;left:0pt;margin-left:224.6pt;margin-top:16.05pt;height:128.35pt;width:188.75pt;mso-wrap-distance-left:9pt;mso-wrap-distance-right:9pt;z-index:251660288;mso-width-relative:page;mso-height-relative:page;"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path/>
            <v:fill focussize="0,0"/>
            <v:stroke dashstyle="dash"/>
            <v:imagedata o:title=""/>
            <o:lock v:ext="edit"/>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w:r>
      <w:r>
        <w:rPr>
          <w:rFonts w:ascii="宋体" w:hAnsi="宋体" w:eastAsia="宋体"/>
        </w:rPr>
        <w:pict>
          <v:shape id="_x0000_s1027" o:spid="_x0000_s1027" o:spt="202" type="#_x0000_t202" style="position:absolute;left:0pt;margin-left:10.7pt;margin-top:14.55pt;height:129pt;width:177.7pt;mso-wrap-distance-left:9pt;mso-wrap-distance-right:9pt;z-index:-251657216;mso-width-relative:page;mso-height-relative:page;"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path/>
            <v:fill focussize="0,0"/>
            <v:stroke dashstyle="dash"/>
            <v:imagedata o:title=""/>
            <o:lock v:ext="edit"/>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5"/>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7"/>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spacing w:line="360" w:lineRule="auto"/>
              <w:jc w:val="center"/>
              <w:rPr>
                <w:rFonts w:ascii="宋体" w:hAnsi="宋体" w:eastAsia="宋体" w:cs="仿宋"/>
                <w:sz w:val="21"/>
                <w:szCs w:val="21"/>
              </w:rPr>
            </w:pPr>
          </w:p>
        </w:tc>
        <w:tc>
          <w:tcPr>
            <w:tcW w:w="3180" w:type="dxa"/>
            <w:vAlign w:val="center"/>
          </w:tcPr>
          <w:p>
            <w:pPr>
              <w:pStyle w:val="44"/>
              <w:spacing w:line="360" w:lineRule="auto"/>
              <w:jc w:val="center"/>
              <w:rPr>
                <w:rFonts w:ascii="宋体" w:hAnsi="宋体" w:eastAsia="宋体" w:cs="仿宋"/>
                <w:sz w:val="21"/>
                <w:szCs w:val="21"/>
              </w:rPr>
            </w:pPr>
          </w:p>
        </w:tc>
        <w:tc>
          <w:tcPr>
            <w:tcW w:w="2515" w:type="dxa"/>
            <w:vAlign w:val="center"/>
          </w:tcPr>
          <w:p>
            <w:pPr>
              <w:pStyle w:val="44"/>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3"/>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spacing w:line="360" w:lineRule="auto"/>
              <w:jc w:val="center"/>
              <w:rPr>
                <w:rFonts w:ascii="宋体" w:hAnsi="宋体" w:eastAsia="宋体" w:cs="仿宋"/>
                <w:sz w:val="21"/>
                <w:szCs w:val="21"/>
              </w:rPr>
            </w:pPr>
          </w:p>
        </w:tc>
        <w:tc>
          <w:tcPr>
            <w:tcW w:w="2263" w:type="dxa"/>
            <w:vAlign w:val="center"/>
          </w:tcPr>
          <w:p>
            <w:pPr>
              <w:pStyle w:val="44"/>
              <w:spacing w:line="360" w:lineRule="auto"/>
              <w:jc w:val="center"/>
              <w:rPr>
                <w:rFonts w:ascii="宋体" w:hAnsi="宋体" w:eastAsia="宋体" w:cs="仿宋"/>
                <w:sz w:val="21"/>
                <w:szCs w:val="21"/>
              </w:rPr>
            </w:pPr>
          </w:p>
        </w:tc>
        <w:tc>
          <w:tcPr>
            <w:tcW w:w="2263" w:type="dxa"/>
            <w:vAlign w:val="center"/>
          </w:tcPr>
          <w:p>
            <w:pPr>
              <w:pStyle w:val="44"/>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3"/>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5"/>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4"/>
        <w:numPr>
          <w:ilvl w:val="0"/>
          <w:numId w:val="6"/>
        </w:numPr>
        <w:spacing w:before="0" w:after="0" w:line="240" w:lineRule="auto"/>
        <w:jc w:val="center"/>
        <w:rPr>
          <w:rFonts w:ascii="宋体" w:hAnsi="宋体" w:eastAsia="宋体"/>
          <w:color w:val="000000"/>
          <w:sz w:val="36"/>
          <w:szCs w:val="36"/>
        </w:rPr>
      </w:pPr>
      <w:bookmarkStart w:id="31" w:name="_Toc26179"/>
      <w:bookmarkStart w:id="32" w:name="_Toc13707"/>
      <w:bookmarkStart w:id="33" w:name="_Toc31585"/>
      <w:r>
        <w:rPr>
          <w:rFonts w:hint="eastAsia" w:ascii="宋体" w:hAnsi="宋体" w:eastAsia="宋体"/>
          <w:color w:val="000000"/>
          <w:sz w:val="36"/>
          <w:szCs w:val="36"/>
        </w:rPr>
        <w:t>采购合同条款（草案）</w:t>
      </w:r>
      <w:bookmarkEnd w:id="31"/>
      <w:bookmarkEnd w:id="32"/>
      <w:bookmarkEnd w:id="33"/>
    </w:p>
    <w:p>
      <w:pPr>
        <w:jc w:val="center"/>
        <w:rPr>
          <w:rFonts w:ascii="宋体" w:hAnsi="宋体" w:eastAsia="宋体" w:cs="仿宋"/>
          <w:sz w:val="28"/>
          <w:szCs w:val="28"/>
        </w:rPr>
      </w:pPr>
      <w:r>
        <w:rPr>
          <w:rFonts w:hint="eastAsia" w:ascii="宋体" w:hAnsi="宋体" w:eastAsia="宋体" w:cs="仿宋"/>
          <w:sz w:val="28"/>
          <w:szCs w:val="28"/>
        </w:rPr>
        <w:t>（双方协商签订）</w:t>
      </w: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D0CE6D09"/>
    <w:multiLevelType w:val="singleLevel"/>
    <w:tmpl w:val="D0CE6D09"/>
    <w:lvl w:ilvl="0" w:tentative="0">
      <w:start w:val="7"/>
      <w:numFmt w:val="chineseCounting"/>
      <w:suff w:val="space"/>
      <w:lvlText w:val="第%1章"/>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4MDdiNTczMDY5YzkyODlhZjc3MmVlMzFhZTAyZTgifQ=="/>
  </w:docVars>
  <w:rsids>
    <w:rsidRoot w:val="00CD5AE8"/>
    <w:rsid w:val="00004412"/>
    <w:rsid w:val="000432F2"/>
    <w:rsid w:val="00060E70"/>
    <w:rsid w:val="00067298"/>
    <w:rsid w:val="0007577C"/>
    <w:rsid w:val="000A3154"/>
    <w:rsid w:val="000B07A6"/>
    <w:rsid w:val="00101FC0"/>
    <w:rsid w:val="00161120"/>
    <w:rsid w:val="001802E8"/>
    <w:rsid w:val="0019545B"/>
    <w:rsid w:val="001A13D6"/>
    <w:rsid w:val="001D075C"/>
    <w:rsid w:val="001D5AF5"/>
    <w:rsid w:val="0024094B"/>
    <w:rsid w:val="002503E2"/>
    <w:rsid w:val="002623F4"/>
    <w:rsid w:val="002F158E"/>
    <w:rsid w:val="002F6A92"/>
    <w:rsid w:val="003069FB"/>
    <w:rsid w:val="00324A0A"/>
    <w:rsid w:val="003569BD"/>
    <w:rsid w:val="00357EDC"/>
    <w:rsid w:val="003738CF"/>
    <w:rsid w:val="003834B9"/>
    <w:rsid w:val="00386659"/>
    <w:rsid w:val="003B010C"/>
    <w:rsid w:val="003D2873"/>
    <w:rsid w:val="003E3E28"/>
    <w:rsid w:val="00401650"/>
    <w:rsid w:val="00422D69"/>
    <w:rsid w:val="004318DE"/>
    <w:rsid w:val="00440DEA"/>
    <w:rsid w:val="00452699"/>
    <w:rsid w:val="004E4695"/>
    <w:rsid w:val="004F5587"/>
    <w:rsid w:val="00505F07"/>
    <w:rsid w:val="0050786D"/>
    <w:rsid w:val="00542BBB"/>
    <w:rsid w:val="00563636"/>
    <w:rsid w:val="00581D66"/>
    <w:rsid w:val="005A403D"/>
    <w:rsid w:val="005F7B5A"/>
    <w:rsid w:val="0060271B"/>
    <w:rsid w:val="00643ADE"/>
    <w:rsid w:val="00652DC6"/>
    <w:rsid w:val="006544EC"/>
    <w:rsid w:val="006556EA"/>
    <w:rsid w:val="006A3D57"/>
    <w:rsid w:val="006B5D0A"/>
    <w:rsid w:val="006C3663"/>
    <w:rsid w:val="006C42D1"/>
    <w:rsid w:val="0070549E"/>
    <w:rsid w:val="007778BD"/>
    <w:rsid w:val="007B6243"/>
    <w:rsid w:val="007E7A49"/>
    <w:rsid w:val="007F0BFD"/>
    <w:rsid w:val="00856815"/>
    <w:rsid w:val="008613D5"/>
    <w:rsid w:val="008C4808"/>
    <w:rsid w:val="008E5B26"/>
    <w:rsid w:val="00916FC4"/>
    <w:rsid w:val="00944AEA"/>
    <w:rsid w:val="00957BCC"/>
    <w:rsid w:val="009611B9"/>
    <w:rsid w:val="009B7C41"/>
    <w:rsid w:val="009C3D5D"/>
    <w:rsid w:val="009D176B"/>
    <w:rsid w:val="00A00917"/>
    <w:rsid w:val="00A47E42"/>
    <w:rsid w:val="00A66191"/>
    <w:rsid w:val="00AD4593"/>
    <w:rsid w:val="00AE2E39"/>
    <w:rsid w:val="00AE68DC"/>
    <w:rsid w:val="00B13195"/>
    <w:rsid w:val="00B94575"/>
    <w:rsid w:val="00B94CE5"/>
    <w:rsid w:val="00BB6994"/>
    <w:rsid w:val="00BC53E6"/>
    <w:rsid w:val="00C03CD7"/>
    <w:rsid w:val="00C05841"/>
    <w:rsid w:val="00C30543"/>
    <w:rsid w:val="00C44C44"/>
    <w:rsid w:val="00C50315"/>
    <w:rsid w:val="00C65CAF"/>
    <w:rsid w:val="00C84C28"/>
    <w:rsid w:val="00CD5AE8"/>
    <w:rsid w:val="00CE04FD"/>
    <w:rsid w:val="00CF5D5B"/>
    <w:rsid w:val="00D072FA"/>
    <w:rsid w:val="00D42B6B"/>
    <w:rsid w:val="00D47D28"/>
    <w:rsid w:val="00D47E8F"/>
    <w:rsid w:val="00D50F3F"/>
    <w:rsid w:val="00D55951"/>
    <w:rsid w:val="00D937EB"/>
    <w:rsid w:val="00DA48A9"/>
    <w:rsid w:val="00DA57E8"/>
    <w:rsid w:val="00DB3C4D"/>
    <w:rsid w:val="00DC351D"/>
    <w:rsid w:val="00E04EA3"/>
    <w:rsid w:val="00E15BF1"/>
    <w:rsid w:val="00E21500"/>
    <w:rsid w:val="00E250D7"/>
    <w:rsid w:val="00E46431"/>
    <w:rsid w:val="00E85DDD"/>
    <w:rsid w:val="00EB5667"/>
    <w:rsid w:val="00EC7A71"/>
    <w:rsid w:val="00F313D0"/>
    <w:rsid w:val="00F34F45"/>
    <w:rsid w:val="00F53C48"/>
    <w:rsid w:val="00F934B2"/>
    <w:rsid w:val="00FD4A63"/>
    <w:rsid w:val="02810D87"/>
    <w:rsid w:val="02A76DC8"/>
    <w:rsid w:val="049A5E25"/>
    <w:rsid w:val="07BD3408"/>
    <w:rsid w:val="07F55C66"/>
    <w:rsid w:val="09526CCE"/>
    <w:rsid w:val="09657974"/>
    <w:rsid w:val="0B0964F8"/>
    <w:rsid w:val="0D984ECC"/>
    <w:rsid w:val="0E945864"/>
    <w:rsid w:val="1032785A"/>
    <w:rsid w:val="10EF574B"/>
    <w:rsid w:val="14DF2F50"/>
    <w:rsid w:val="14F766D0"/>
    <w:rsid w:val="16D32075"/>
    <w:rsid w:val="17665424"/>
    <w:rsid w:val="1BF84678"/>
    <w:rsid w:val="1EAA20B1"/>
    <w:rsid w:val="1EF8161D"/>
    <w:rsid w:val="23BC14BC"/>
    <w:rsid w:val="23C46957"/>
    <w:rsid w:val="244E0945"/>
    <w:rsid w:val="25A82F5B"/>
    <w:rsid w:val="27D61735"/>
    <w:rsid w:val="2C5A7AC4"/>
    <w:rsid w:val="2F5A2883"/>
    <w:rsid w:val="2FA51FF8"/>
    <w:rsid w:val="3075353C"/>
    <w:rsid w:val="322F72FD"/>
    <w:rsid w:val="33E13858"/>
    <w:rsid w:val="34BC2E77"/>
    <w:rsid w:val="35E514C7"/>
    <w:rsid w:val="375A4D48"/>
    <w:rsid w:val="37675E8E"/>
    <w:rsid w:val="37BF5665"/>
    <w:rsid w:val="3B245E6D"/>
    <w:rsid w:val="4048214A"/>
    <w:rsid w:val="40D5722F"/>
    <w:rsid w:val="414334DE"/>
    <w:rsid w:val="41B61398"/>
    <w:rsid w:val="429C09DF"/>
    <w:rsid w:val="43C81360"/>
    <w:rsid w:val="447D65F1"/>
    <w:rsid w:val="44D10B59"/>
    <w:rsid w:val="45C34731"/>
    <w:rsid w:val="46184820"/>
    <w:rsid w:val="4ADC2FC7"/>
    <w:rsid w:val="4ADD3943"/>
    <w:rsid w:val="4CEC76B7"/>
    <w:rsid w:val="4EB008C4"/>
    <w:rsid w:val="4FE209AC"/>
    <w:rsid w:val="520B348B"/>
    <w:rsid w:val="5261632C"/>
    <w:rsid w:val="52B134F5"/>
    <w:rsid w:val="54A61249"/>
    <w:rsid w:val="54D65DCA"/>
    <w:rsid w:val="551B5E9C"/>
    <w:rsid w:val="55AB51B1"/>
    <w:rsid w:val="55FB7379"/>
    <w:rsid w:val="57160F93"/>
    <w:rsid w:val="59344CBF"/>
    <w:rsid w:val="5A7A7400"/>
    <w:rsid w:val="5A8C2C8F"/>
    <w:rsid w:val="5B596361"/>
    <w:rsid w:val="5BD415B9"/>
    <w:rsid w:val="5E124648"/>
    <w:rsid w:val="624A3B5C"/>
    <w:rsid w:val="62CA0DEA"/>
    <w:rsid w:val="63373C88"/>
    <w:rsid w:val="644D16E1"/>
    <w:rsid w:val="647A1378"/>
    <w:rsid w:val="663D274C"/>
    <w:rsid w:val="671E7365"/>
    <w:rsid w:val="67B607B7"/>
    <w:rsid w:val="6CB843E9"/>
    <w:rsid w:val="6DD92F53"/>
    <w:rsid w:val="6FDF3411"/>
    <w:rsid w:val="708E13B0"/>
    <w:rsid w:val="71BA7C8A"/>
    <w:rsid w:val="72775247"/>
    <w:rsid w:val="72ED5B8D"/>
    <w:rsid w:val="73E27DCB"/>
    <w:rsid w:val="74273CFD"/>
    <w:rsid w:val="75994A53"/>
    <w:rsid w:val="760F2C9B"/>
    <w:rsid w:val="765E4A8E"/>
    <w:rsid w:val="77943EE8"/>
    <w:rsid w:val="77CB46B5"/>
    <w:rsid w:val="7C2B202C"/>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35"/>
    <w:qFormat/>
    <w:uiPriority w:val="0"/>
    <w:pPr>
      <w:keepNext/>
      <w:keepLines/>
      <w:spacing w:before="120" w:after="120"/>
      <w:outlineLvl w:val="1"/>
    </w:pPr>
    <w:rPr>
      <w:rFonts w:ascii="Arial" w:hAnsi="Arial" w:eastAsia="仿宋"/>
      <w:b/>
      <w:bCs/>
      <w:sz w:val="28"/>
      <w:szCs w:val="32"/>
    </w:rPr>
  </w:style>
  <w:style w:type="paragraph" w:styleId="6">
    <w:name w:val="heading 3"/>
    <w:basedOn w:val="1"/>
    <w:next w:val="1"/>
    <w:link w:val="36"/>
    <w:qFormat/>
    <w:uiPriority w:val="0"/>
    <w:pPr>
      <w:keepNext/>
      <w:keepLines/>
      <w:spacing w:before="120" w:after="120"/>
      <w:outlineLvl w:val="2"/>
    </w:pPr>
    <w:rPr>
      <w:rFonts w:eastAsia="仿宋"/>
      <w:b/>
      <w:sz w:val="3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200" w:firstLine="200" w:firstLineChars="200"/>
    </w:pPr>
    <w:rPr>
      <w:rFonts w:ascii="宋体" w:eastAsia="宋体"/>
      <w:szCs w:val="20"/>
    </w:rPr>
  </w:style>
  <w:style w:type="paragraph" w:styleId="3">
    <w:name w:val="Body Text"/>
    <w:basedOn w:val="1"/>
    <w:next w:val="1"/>
    <w:link w:val="37"/>
    <w:qFormat/>
    <w:uiPriority w:val="0"/>
    <w:pPr>
      <w:spacing w:after="120"/>
    </w:p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caption"/>
    <w:basedOn w:val="1"/>
    <w:next w:val="1"/>
    <w:semiHidden/>
    <w:unhideWhenUsed/>
    <w:qFormat/>
    <w:uiPriority w:val="35"/>
    <w:rPr>
      <w:rFonts w:eastAsia="黑体" w:asciiTheme="majorHAnsi" w:hAnsiTheme="majorHAnsi" w:cstheme="majorBidi"/>
      <w:sz w:val="20"/>
      <w:szCs w:val="20"/>
    </w:rPr>
  </w:style>
  <w:style w:type="paragraph" w:styleId="10">
    <w:name w:val="annotation text"/>
    <w:basedOn w:val="1"/>
    <w:link w:val="38"/>
    <w:qFormat/>
    <w:uiPriority w:val="0"/>
    <w:pPr>
      <w:jc w:val="left"/>
    </w:pPr>
  </w:style>
  <w:style w:type="paragraph" w:styleId="11">
    <w:name w:val="Body Text Indent"/>
    <w:basedOn w:val="1"/>
    <w:semiHidden/>
    <w:unhideWhenUsed/>
    <w:qFormat/>
    <w:uiPriority w:val="99"/>
    <w:pPr>
      <w:spacing w:after="120"/>
      <w:ind w:left="420" w:leftChars="200"/>
    </w:pPr>
  </w:style>
  <w:style w:type="paragraph" w:styleId="12">
    <w:name w:val="Plain Text"/>
    <w:basedOn w:val="1"/>
    <w:next w:val="8"/>
    <w:qFormat/>
    <w:uiPriority w:val="0"/>
    <w:rPr>
      <w:rFonts w:hAnsi="Courier New"/>
    </w:rPr>
  </w:style>
  <w:style w:type="paragraph" w:styleId="13">
    <w:name w:val="Date"/>
    <w:basedOn w:val="1"/>
    <w:next w:val="1"/>
    <w:link w:val="52"/>
    <w:semiHidden/>
    <w:unhideWhenUsed/>
    <w:qFormat/>
    <w:uiPriority w:val="99"/>
    <w:pPr>
      <w:ind w:left="100" w:leftChars="2500"/>
    </w:pPr>
  </w:style>
  <w:style w:type="paragraph" w:styleId="14">
    <w:name w:val="Body Text Indent 2"/>
    <w:basedOn w:val="1"/>
    <w:link w:val="39"/>
    <w:qFormat/>
    <w:uiPriority w:val="0"/>
    <w:pPr>
      <w:ind w:firstLine="630"/>
    </w:pPr>
    <w:rPr>
      <w:sz w:val="32"/>
    </w:r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0"/>
    <w:qFormat/>
    <w:uiPriority w:val="0"/>
    <w:rPr>
      <w:sz w:val="28"/>
    </w:rPr>
  </w:style>
  <w:style w:type="paragraph" w:styleId="19">
    <w:name w:val="List"/>
    <w:basedOn w:val="1"/>
    <w:semiHidden/>
    <w:unhideWhenUsed/>
    <w:qFormat/>
    <w:uiPriority w:val="99"/>
    <w:pPr>
      <w:ind w:left="200" w:hanging="200" w:hangingChars="200"/>
      <w:contextualSpacing/>
    </w:pPr>
  </w:style>
  <w:style w:type="paragraph" w:styleId="20">
    <w:name w:val="footnote text"/>
    <w:basedOn w:val="1"/>
    <w:link w:val="58"/>
    <w:semiHidden/>
    <w:unhideWhenUsed/>
    <w:qFormat/>
    <w:uiPriority w:val="99"/>
    <w:pPr>
      <w:snapToGrid w:val="0"/>
      <w:jc w:val="left"/>
    </w:pPr>
    <w:rPr>
      <w:sz w:val="18"/>
      <w:szCs w:val="18"/>
    </w:rPr>
  </w:style>
  <w:style w:type="paragraph" w:styleId="21">
    <w:name w:val="annotation subject"/>
    <w:basedOn w:val="10"/>
    <w:next w:val="10"/>
    <w:link w:val="53"/>
    <w:semiHidden/>
    <w:unhideWhenUsed/>
    <w:qFormat/>
    <w:uiPriority w:val="99"/>
    <w:rPr>
      <w:b/>
      <w:bCs/>
    </w:rPr>
  </w:style>
  <w:style w:type="paragraph" w:styleId="22">
    <w:name w:val="Body Text First Indent"/>
    <w:basedOn w:val="3"/>
    <w:link w:val="41"/>
    <w:qFormat/>
    <w:uiPriority w:val="0"/>
    <w:pPr>
      <w:spacing w:line="360" w:lineRule="auto"/>
      <w:ind w:firstLine="420"/>
    </w:pPr>
    <w:rPr>
      <w:rFonts w:ascii="宋体" w:hAnsi="宋体"/>
      <w:sz w:val="24"/>
    </w:rPr>
  </w:style>
  <w:style w:type="table" w:styleId="24">
    <w:name w:val="Table Grid"/>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annotation reference"/>
    <w:basedOn w:val="25"/>
    <w:semiHidden/>
    <w:unhideWhenUsed/>
    <w:qFormat/>
    <w:uiPriority w:val="99"/>
    <w:rPr>
      <w:sz w:val="21"/>
      <w:szCs w:val="21"/>
    </w:rPr>
  </w:style>
  <w:style w:type="character" w:styleId="28">
    <w:name w:val="footnote reference"/>
    <w:basedOn w:val="25"/>
    <w:semiHidden/>
    <w:unhideWhenUsed/>
    <w:qFormat/>
    <w:uiPriority w:val="99"/>
    <w:rPr>
      <w:vertAlign w:val="superscript"/>
    </w:rPr>
  </w:style>
  <w:style w:type="paragraph" w:customStyle="1" w:styleId="29">
    <w:name w:val="标题 5（有编号）（绿盟科技）"/>
    <w:basedOn w:val="30"/>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Char"/>
    <w:basedOn w:val="25"/>
    <w:link w:val="17"/>
    <w:qFormat/>
    <w:uiPriority w:val="99"/>
    <w:rPr>
      <w:sz w:val="18"/>
      <w:szCs w:val="18"/>
    </w:rPr>
  </w:style>
  <w:style w:type="character" w:customStyle="1" w:styleId="33">
    <w:name w:val="页脚 Char"/>
    <w:basedOn w:val="25"/>
    <w:link w:val="16"/>
    <w:qFormat/>
    <w:uiPriority w:val="99"/>
    <w:rPr>
      <w:sz w:val="18"/>
      <w:szCs w:val="18"/>
    </w:rPr>
  </w:style>
  <w:style w:type="character" w:customStyle="1" w:styleId="34">
    <w:name w:val="标题 1 Char"/>
    <w:basedOn w:val="25"/>
    <w:link w:val="4"/>
    <w:qFormat/>
    <w:uiPriority w:val="99"/>
    <w:rPr>
      <w:b/>
      <w:bCs/>
      <w:kern w:val="44"/>
      <w:sz w:val="44"/>
      <w:szCs w:val="44"/>
    </w:rPr>
  </w:style>
  <w:style w:type="character" w:customStyle="1" w:styleId="35">
    <w:name w:val="标题 2 Char"/>
    <w:basedOn w:val="25"/>
    <w:link w:val="5"/>
    <w:qFormat/>
    <w:uiPriority w:val="0"/>
    <w:rPr>
      <w:rFonts w:ascii="Arial" w:hAnsi="Arial" w:eastAsia="仿宋"/>
      <w:b/>
      <w:bCs/>
      <w:sz w:val="28"/>
      <w:szCs w:val="32"/>
    </w:rPr>
  </w:style>
  <w:style w:type="character" w:customStyle="1" w:styleId="36">
    <w:name w:val="标题 3 Char"/>
    <w:basedOn w:val="25"/>
    <w:link w:val="6"/>
    <w:qFormat/>
    <w:uiPriority w:val="0"/>
    <w:rPr>
      <w:rFonts w:eastAsia="仿宋"/>
      <w:b/>
      <w:sz w:val="30"/>
    </w:rPr>
  </w:style>
  <w:style w:type="character" w:customStyle="1" w:styleId="37">
    <w:name w:val="正文文本 Char"/>
    <w:basedOn w:val="25"/>
    <w:link w:val="3"/>
    <w:qFormat/>
    <w:uiPriority w:val="0"/>
  </w:style>
  <w:style w:type="character" w:customStyle="1" w:styleId="38">
    <w:name w:val="批注文字 Char"/>
    <w:basedOn w:val="25"/>
    <w:link w:val="10"/>
    <w:qFormat/>
    <w:uiPriority w:val="0"/>
  </w:style>
  <w:style w:type="character" w:customStyle="1" w:styleId="39">
    <w:name w:val="正文文本缩进 2 Char"/>
    <w:basedOn w:val="25"/>
    <w:link w:val="14"/>
    <w:qFormat/>
    <w:uiPriority w:val="0"/>
    <w:rPr>
      <w:sz w:val="32"/>
    </w:rPr>
  </w:style>
  <w:style w:type="character" w:customStyle="1" w:styleId="40">
    <w:name w:val="副标题 Char"/>
    <w:basedOn w:val="25"/>
    <w:link w:val="18"/>
    <w:qFormat/>
    <w:uiPriority w:val="0"/>
    <w:rPr>
      <w:sz w:val="28"/>
    </w:rPr>
  </w:style>
  <w:style w:type="character" w:customStyle="1" w:styleId="41">
    <w:name w:val="正文首行缩进 Char"/>
    <w:basedOn w:val="37"/>
    <w:link w:val="22"/>
    <w:qFormat/>
    <w:uiPriority w:val="0"/>
    <w:rPr>
      <w:rFonts w:ascii="宋体" w:hAnsi="宋体"/>
      <w:sz w:val="24"/>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qFormat/>
    <w:uiPriority w:val="0"/>
    <w:pPr>
      <w:spacing w:line="400" w:lineRule="exact"/>
    </w:pPr>
    <w:rPr>
      <w:sz w:val="24"/>
      <w:szCs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paragraph" w:customStyle="1" w:styleId="46">
    <w:name w:val="列出段落1"/>
    <w:basedOn w:val="1"/>
    <w:qFormat/>
    <w:uiPriority w:val="0"/>
    <w:pPr>
      <w:ind w:firstLine="420" w:firstLineChars="200"/>
    </w:pPr>
    <w:rPr>
      <w:szCs w:val="2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qFormat/>
    <w:uiPriority w:val="0"/>
    <w:rPr>
      <w:rFonts w:hint="eastAsia" w:ascii="宋体" w:hAnsi="宋体" w:eastAsia="宋体" w:cs="宋体"/>
      <w:b/>
      <w:color w:val="000000"/>
      <w:sz w:val="22"/>
      <w:szCs w:val="22"/>
      <w:u w:val="none"/>
    </w:rPr>
  </w:style>
  <w:style w:type="character" w:customStyle="1" w:styleId="50">
    <w:name w:val="font21"/>
    <w:qFormat/>
    <w:uiPriority w:val="0"/>
    <w:rPr>
      <w:rFonts w:hint="eastAsia" w:ascii="宋体" w:hAnsi="宋体" w:eastAsia="宋体" w:cs="宋体"/>
      <w:color w:val="000000"/>
      <w:sz w:val="20"/>
      <w:szCs w:val="20"/>
      <w:u w:val="none"/>
    </w:rPr>
  </w:style>
  <w:style w:type="character" w:customStyle="1" w:styleId="51">
    <w:name w:val="font81"/>
    <w:basedOn w:val="25"/>
    <w:qFormat/>
    <w:uiPriority w:val="0"/>
    <w:rPr>
      <w:rFonts w:hint="eastAsia" w:ascii="宋体" w:hAnsi="宋体" w:eastAsia="宋体" w:cs="宋体"/>
      <w:b/>
      <w:color w:val="000000"/>
      <w:sz w:val="22"/>
      <w:szCs w:val="22"/>
      <w:u w:val="none"/>
    </w:rPr>
  </w:style>
  <w:style w:type="character" w:customStyle="1" w:styleId="52">
    <w:name w:val="日期 Char"/>
    <w:basedOn w:val="25"/>
    <w:link w:val="13"/>
    <w:semiHidden/>
    <w:qFormat/>
    <w:uiPriority w:val="99"/>
    <w:rPr>
      <w:kern w:val="2"/>
      <w:sz w:val="21"/>
      <w:szCs w:val="22"/>
    </w:rPr>
  </w:style>
  <w:style w:type="character" w:customStyle="1" w:styleId="53">
    <w:name w:val="批注主题 Char"/>
    <w:basedOn w:val="38"/>
    <w:link w:val="21"/>
    <w:semiHidden/>
    <w:qFormat/>
    <w:uiPriority w:val="99"/>
    <w:rPr>
      <w:b/>
      <w:bCs/>
      <w:kern w:val="2"/>
      <w:sz w:val="21"/>
      <w:szCs w:val="22"/>
    </w:rPr>
  </w:style>
  <w:style w:type="paragraph" w:customStyle="1" w:styleId="54">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Char"/>
    <w:basedOn w:val="25"/>
    <w:link w:val="15"/>
    <w:semiHidden/>
    <w:qFormat/>
    <w:uiPriority w:val="99"/>
    <w:rPr>
      <w:kern w:val="2"/>
      <w:sz w:val="18"/>
      <w:szCs w:val="18"/>
    </w:rPr>
  </w:style>
  <w:style w:type="character" w:customStyle="1" w:styleId="56">
    <w:name w:val="font11"/>
    <w:basedOn w:val="25"/>
    <w:qFormat/>
    <w:uiPriority w:val="0"/>
    <w:rPr>
      <w:rFonts w:hint="eastAsia" w:ascii="宋体" w:hAnsi="宋体" w:eastAsia="宋体" w:cs="宋体"/>
      <w:color w:val="000000"/>
      <w:sz w:val="21"/>
      <w:szCs w:val="21"/>
      <w:u w:val="none"/>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脚注文本 Char"/>
    <w:basedOn w:val="25"/>
    <w:link w:val="20"/>
    <w:semiHidden/>
    <w:qFormat/>
    <w:uiPriority w:val="99"/>
    <w:rPr>
      <w:kern w:val="2"/>
      <w:sz w:val="18"/>
      <w:szCs w:val="18"/>
    </w:rPr>
  </w:style>
  <w:style w:type="paragraph" w:customStyle="1" w:styleId="59">
    <w:name w:val="列表段落1"/>
    <w:basedOn w:val="1"/>
    <w:qFormat/>
    <w:uiPriority w:val="34"/>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3AC41-D1D0-4D94-8C3E-5D3200752A9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2092</Words>
  <Characters>11928</Characters>
  <Lines>99</Lines>
  <Paragraphs>27</Paragraphs>
  <TotalTime>148</TotalTime>
  <ScaleCrop>false</ScaleCrop>
  <LinksUpToDate>false</LinksUpToDate>
  <CharactersWithSpaces>13993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2023-10-12T01:46:00Z</cp:lastPrinted>
  <dcterms:modified xsi:type="dcterms:W3CDTF">2023-10-17T06:30:01Z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556A406FEDF74B8B8F79A6FD1D929DD4_13</vt:lpwstr>
  </property>
</Properties>
</file>