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10</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3"/>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四川铁道职业学院拟对2024年纸质期刊采购项目</w:t>
      </w:r>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rPr>
        <w:t>2024年纸质期刊采购项目</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2023019</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numPr>
          <w:ilvl w:val="0"/>
          <w:numId w:val="3"/>
        </w:numPr>
        <w:spacing w:line="360" w:lineRule="auto"/>
        <w:ind w:firstLine="482" w:firstLineChars="200"/>
        <w:outlineLvl w:val="1"/>
        <w:rPr>
          <w:rFonts w:hint="eastAsia" w:ascii="宋体" w:hAnsi="宋体" w:eastAsia="宋体" w:cs="Times New Roman"/>
          <w:b/>
          <w:sz w:val="24"/>
          <w:szCs w:val="24"/>
        </w:rPr>
      </w:pP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10</w:t>
      </w:r>
      <w:r>
        <w:rPr>
          <w:rFonts w:ascii="宋体" w:hAnsi="宋体" w:eastAsia="宋体" w:cs="Times New Roman"/>
          <w:sz w:val="24"/>
          <w:szCs w:val="24"/>
        </w:rPr>
        <w:t>月</w:t>
      </w:r>
      <w:r>
        <w:rPr>
          <w:rFonts w:hint="eastAsia" w:ascii="宋体" w:hAnsi="宋体" w:eastAsia="宋体" w:cs="Times New Roman"/>
          <w:sz w:val="24"/>
          <w:szCs w:val="24"/>
          <w:lang w:val="en-US" w:eastAsia="zh-CN"/>
        </w:rPr>
        <w:t>19</w:t>
      </w:r>
      <w:r>
        <w:rPr>
          <w:rFonts w:ascii="宋体" w:hAnsi="宋体" w:eastAsia="宋体" w:cs="Times New Roman"/>
          <w:sz w:val="24"/>
          <w:szCs w:val="24"/>
        </w:rPr>
        <w:t>日时</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1.比选申请文件应在参加比选时间前送达比选地到的文件将被拒收。</w:t>
      </w:r>
      <w:bookmarkStart w:id="34" w:name="_GoBack"/>
      <w:bookmarkEnd w:id="34"/>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5"/>
        <w:numPr>
          <w:ilvl w:val="0"/>
          <w:numId w:val="4"/>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人：贺老师、桑老师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r>
        <w:rPr>
          <w:rFonts w:ascii="宋体" w:hAnsi="宋体" w:eastAsia="宋体" w:cs="Times New Roman"/>
          <w:sz w:val="24"/>
          <w:szCs w:val="24"/>
        </w:rPr>
        <w:t>68939921</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23677"/>
      <w:bookmarkStart w:id="3" w:name="_Toc4075"/>
      <w:bookmarkStart w:id="4" w:name="_Toc18147"/>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8"/>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13.5</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13.5</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cs="Times New Roman"/>
                <w:sz w:val="22"/>
                <w:szCs w:val="22"/>
                <w:lang w:val="zh-CN"/>
              </w:rPr>
              <w:t>不正当竞争预防措施</w:t>
            </w:r>
          </w:p>
          <w:p>
            <w:pPr>
              <w:pStyle w:val="37"/>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rPr>
            </w:pPr>
            <w:r>
              <w:rPr>
                <w:rFonts w:hint="eastAsia" w:cs="Times New Roman"/>
                <w:sz w:val="22"/>
                <w:szCs w:val="22"/>
              </w:rPr>
              <w:t>信用记录查询</w:t>
            </w:r>
          </w:p>
          <w:p>
            <w:pPr>
              <w:pStyle w:val="37"/>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合同分包</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联合体</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7"/>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5"/>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582216"/>
      <w:bookmarkStart w:id="11" w:name="_Toc217446044"/>
      <w:bookmarkStart w:id="12" w:name="_Toc183682353"/>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217446055"/>
      <w:bookmarkStart w:id="15"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250646"/>
      <w:bookmarkStart w:id="17" w:name="_Toc101174151"/>
      <w:bookmarkStart w:id="18" w:name="_Toc430773927"/>
      <w:bookmarkStart w:id="19" w:name="_Toc209847069"/>
      <w:bookmarkStart w:id="20" w:name="_Toc101338364"/>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6"/>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9"/>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ind w:firstLine="480" w:firstLineChars="200"/>
        <w:jc w:val="left"/>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pStyle w:val="3"/>
        <w:spacing w:line="360" w:lineRule="auto"/>
        <w:ind w:firstLine="480" w:firstLineChars="200"/>
        <w:rPr>
          <w:rFonts w:ascii="宋体" w:hAnsi="宋体" w:eastAsia="宋体"/>
          <w:b w:val="0"/>
          <w:bCs w:val="0"/>
          <w:sz w:val="24"/>
          <w:szCs w:val="24"/>
          <w:lang w:val="zh-CN"/>
        </w:rPr>
      </w:pPr>
      <w:r>
        <w:rPr>
          <w:rFonts w:hint="eastAsia" w:ascii="宋体" w:hAnsi="宋体" w:eastAsia="宋体"/>
          <w:b w:val="0"/>
          <w:bCs w:val="0"/>
          <w:sz w:val="24"/>
          <w:szCs w:val="24"/>
        </w:rPr>
        <w:t>根据我校建设、学科专业建设和人才培养需要，采购提供适合学院师生借阅的，以铁道运输、经济、金融管理专业等为主的2024年期刊。</w:t>
      </w:r>
    </w:p>
    <w:p>
      <w:pPr>
        <w:numPr>
          <w:ilvl w:val="0"/>
          <w:numId w:val="2"/>
        </w:numPr>
        <w:snapToGrid w:val="0"/>
        <w:spacing w:line="560" w:lineRule="exact"/>
        <w:ind w:firstLine="562" w:firstLineChars="200"/>
        <w:textAlignment w:val="baseline"/>
        <w:outlineLvl w:val="1"/>
        <w:rPr>
          <w:rFonts w:ascii="宋体" w:hAnsi="宋体" w:eastAsia="宋体"/>
          <w:sz w:val="24"/>
          <w:szCs w:val="24"/>
          <w:lang w:val="zh-CN"/>
        </w:rPr>
      </w:pPr>
      <w:r>
        <w:rPr>
          <w:rFonts w:hint="eastAsia" w:ascii="宋体" w:hAnsi="宋体" w:eastAsia="宋体" w:cs="仿宋"/>
          <w:b/>
          <w:bCs/>
          <w:sz w:val="28"/>
          <w:szCs w:val="24"/>
          <w:lang w:val="zh-CN"/>
        </w:rPr>
        <w:t>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2、供应商提供2024年度期刊采购目录，期刊订购在2023年11月30日前完成，订购2024年度出版的期刊且须按我馆订购的期刊品种、数量保证完整供货。</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3、供应商所供期刊必须与我馆提供的订单相符，不得更换或搭配未订购的期刊，超出订单以外的期刊我馆将不予接收和付款。</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4、期刊采购方式以订单定购为主，2023年11月10日前，提供订单目录或网络订购目录并订购，其中有部分专业内部刊物（不属于邮局发行），要求供应商一并采购到位，所有服务均有专人负责跟进。目录经过双方确定期刊种类、数量、订价、总价后，由供应商根据双方确认的实洋开据符合财务制度的正规发票。</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5、供应商所提供的期刊应为正式出版物，并保证来源合法，违者将承担全部法律和经济责任，所提供期刊引起的侵犯版权、宣传非法内容等法律责任和经济责任完全由供应商承担。</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6、对于出现开胶、散页、倒装、缺页、污损等有质量问题的期刊，无论加工与否，供应商必须无条件及时退换。</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7、期刊品种采购率达到100％，如有特殊问题请在提供订单后一个月内及时反馈并进行协商。</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8、期刊出版后一个月内到刊率要求达到99％以上，如有短缺，应及时补齐。</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9、供应商收到采购人《期刊意向订购单》之后，对停办、改名、价格变更以及无法查找的刊物应在3日内反馈我方，并制作能满足我方订购意向的《期刊征订单》交采购人签字确认后，作为正式订购期刊品种及数量的依据。同时，供应商应为采购人提供所订购期刊的详细 MARC 数据。</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10、所订期刊如遇刊名变更或价格变动，供应商应及时告知，如出现某些期刊实际价格超出预订价格50%的情况，应与采购人联系决定是否继续订购。否则采购人有权拒收。</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11、供应商提供期刊全加工服务，包括有：为每册期刊加盖馆藏章（每册期刊上盖2枚馆藏章，封面和书名页各一枚章，用红色印泥，要求端正、清晰）。埋设防盗磁条：加粘16厘米长可冲消钴基磁条，每册刊一般埋设一根，要求埋设磁条贴近期刊装订缝处，牢固隐蔽不易发现。在完成当年期刊送刊后，完成统一期刊装订工作（按简装过刊装订）。</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12、期刊到馆要及时，在期刊发行后，最迟不能超过一个月，如有些刊因供应渠道的问题，需要推迟到馆的，需要进行说明并经过图书馆阅览室负责人同意。</w:t>
      </w:r>
    </w:p>
    <w:p>
      <w:pPr>
        <w:pStyle w:val="39"/>
        <w:snapToGrid w:val="0"/>
        <w:spacing w:line="360" w:lineRule="auto"/>
        <w:ind w:firstLine="480"/>
        <w:rPr>
          <w:rFonts w:ascii="宋体" w:hAnsi="宋体" w:eastAsia="宋体" w:cs="Times New Roman"/>
          <w:bCs/>
          <w:kern w:val="0"/>
          <w:sz w:val="21"/>
          <w:szCs w:val="21"/>
          <w:lang w:val="zh-CN"/>
        </w:rPr>
      </w:pPr>
      <w:r>
        <w:rPr>
          <w:rFonts w:hint="eastAsia" w:ascii="宋体" w:hAnsi="宋体" w:eastAsia="宋体" w:cstheme="minorBidi"/>
          <w:szCs w:val="24"/>
        </w:rPr>
        <w:t>13、根据期刊订购目录提供每种的MARC数据注录，注录内容必须包括：国际ISSN号或统一书号、正副题名、丛书名、著者、出版社名称、版次、出版年、价格、装订形式、开本、内容提要、读者对象、适用范围等。供应商要保证提供的MARC格式的数据能在图书馆集成化系统上无障碍使用。</w:t>
      </w:r>
    </w:p>
    <w:p>
      <w:pPr>
        <w:snapToGrid w:val="0"/>
        <w:spacing w:line="560" w:lineRule="exact"/>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三、服务要求</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1.送货要求：</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1）供应商应建立单独数据库，便于供应商及采购人内部查询，如出现供应商数据库与采购人系统签到期刊不相符，以送货单为准，缺刊的在一个月内补齐。</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2）如果期刊送货顺序与出版顺序不一致，供应商应说明且尽快补齐。</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3）供应商就所缺期刊及期数每三个月列一个缺货清单送达图书馆期刊阅览室负责人。</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4）供应商负责及时配送期刊，保证每周送刊1次到指定地点，并无条件提供卸货、搬运等服务，经采购人签字验收后作为收刊依据。</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2.验收内容及标准：</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1）乙方在期刊出版后 15 天内送货到甲方指定地点，数据导入数据库验收合格交付使用。交货时须按每批次每包编号，每包的清单内容要与实际的期刊名称、单价、版次相符。交货验收时须提供产品质检部门从同类产品中抽样检查合格的检测报告。</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2）验收由甲方组织，乙方配合进行：</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（1）货物在乙方通知配送完毕后7日内验收。</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2）期刊到馆验收要求完好无损，在期刊验收过程中，如发现缺刊、残刊、错刊、污损以及其他有关非正常情况，应及时向期刊供应商提出查询，期刊供应商应负责解决问题，及时补刊或退换。对我方提出的问题，期刊供应商应于3个工作日内答复。寒暑假配送期刊时间由采购人确定并提前通知期刊供应商，期刊供应商应严格遵守时间，不得擅自更改。</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3）验收时如发现所交付的期刊与甲方所提供的期刊采购目录不符、有缺章少页、次品、损坏或其它不符合标准及本文件规定之情形者，甲方应做出详尽的现场记录，或由甲乙双方签署备忘录，此现场记录或备忘录可用作补充、缺失和更换损坏期刊的有效证据，由此产生的时间延误与有关费用由乙方承担，验收期限相应顺延。</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（4） 验收标准：按国家有关规定以及甲方招标文件的质量要求和技术指标、乙方的投标文件及承诺与合同约定标准进行验收；甲乙双方如对质量要求和技术指标的约定标准有相互抵触或异议的事项，由甲方按质量要求和技术指标比较优胜的原则确定该项的约定标准进行验收。</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（5）如期刊出版发行时有随刊附件（包括增刊、赠刊和其他赠送物等），期刊供应商应在发货清单标注并全部送达我馆，不得擅自拆留。</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（6）如质量验收合格，双方签署质量验收报告。</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7）供应商每季度提供一份未到刊清单以及刊物相关变更情况，须以书面形式说明原因，对我方的催缺请求，供应商应在3个工作日内予以响应，并在30天内将缺刊补交给我方；无法补齐的部分应及时说明并按我方要求无条件提供所缺期刊复印件，供应商在2025年4月30日以前完成上一年度期刊补缺工作，并于第二次核算退还相应款项差额。</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（8）货物配送完成后7日内，甲方无故不进行验收工作并已使用货物的，视同已安装调试完成并验收合格。</w:t>
      </w:r>
    </w:p>
    <w:p>
      <w:pPr>
        <w:pStyle w:val="39"/>
        <w:snapToGrid w:val="0"/>
        <w:spacing w:line="360" w:lineRule="auto"/>
        <w:ind w:firstLine="480"/>
        <w:rPr>
          <w:rFonts w:ascii="宋体" w:hAnsi="宋体" w:eastAsia="宋体" w:cstheme="minorBidi"/>
          <w:szCs w:val="24"/>
        </w:rPr>
      </w:pPr>
      <w:r>
        <w:rPr>
          <w:rFonts w:hint="eastAsia" w:ascii="宋体" w:hAnsi="宋体" w:eastAsia="宋体" w:cstheme="minorBidi"/>
          <w:szCs w:val="24"/>
        </w:rPr>
        <w:t>4、其它未尽事宜应按照验收按照《学校货物与服务验收管理办法》要求进行。</w:t>
      </w:r>
    </w:p>
    <w:p>
      <w:pPr>
        <w:autoSpaceDE w:val="0"/>
        <w:autoSpaceDN w:val="0"/>
        <w:spacing w:line="520" w:lineRule="exact"/>
        <w:ind w:left="420" w:leftChars="200"/>
        <w:outlineLvl w:val="1"/>
        <w:rPr>
          <w:rFonts w:hint="eastAsia" w:ascii="宋体" w:hAnsi="宋体" w:eastAsia="宋体" w:cs="Times New Roman"/>
          <w:b/>
          <w:bCs/>
          <w:sz w:val="28"/>
          <w:szCs w:val="24"/>
          <w:lang w:val="zh-CN"/>
        </w:rPr>
      </w:pPr>
    </w:p>
    <w:p>
      <w:pPr>
        <w:autoSpaceDE w:val="0"/>
        <w:autoSpaceDN w:val="0"/>
        <w:spacing w:line="520" w:lineRule="exact"/>
        <w:ind w:left="420" w:leftChars="200"/>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四、商务要求（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核算</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1）以期刊采购明细表的目录作为计算期刊款的依据，以中标商的投标报价核算（以折扣率报价）。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2）投标报价不能超过纸质期刊项目的限价。</w:t>
      </w:r>
    </w:p>
    <w:p>
      <w:pPr>
        <w:spacing w:line="360" w:lineRule="auto"/>
        <w:ind w:firstLine="470" w:firstLineChars="196"/>
        <w:rPr>
          <w:rFonts w:ascii="宋体" w:hAnsi="宋体" w:eastAsia="宋体"/>
          <w:sz w:val="24"/>
          <w:szCs w:val="24"/>
          <w:lang w:val="zh-CN"/>
        </w:rPr>
      </w:pPr>
      <w:r>
        <w:rPr>
          <w:rFonts w:hint="eastAsia" w:ascii="宋体" w:hAnsi="宋体" w:eastAsia="宋体"/>
          <w:sz w:val="24"/>
          <w:szCs w:val="24"/>
        </w:rPr>
        <w:t>3）因出版方原因中途停刊、断刊的，供应商应在2025年4月30日前与我馆进行第二次核算，并提供相应退还期刊款的目录及明细。</w:t>
      </w:r>
    </w:p>
    <w:p>
      <w:pPr>
        <w:spacing w:line="360" w:lineRule="auto"/>
        <w:ind w:firstLine="470" w:firstLineChars="196"/>
        <w:rPr>
          <w:rFonts w:ascii="宋体" w:hAnsi="宋体" w:eastAsia="宋体"/>
          <w:sz w:val="24"/>
          <w:szCs w:val="24"/>
          <w:lang w:val="zh-CN"/>
        </w:rPr>
      </w:pPr>
    </w:p>
    <w:p>
      <w:pPr>
        <w:pStyle w:val="3"/>
        <w:ind w:left="420" w:leftChars="200"/>
        <w:rPr>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2"/>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18"/>
        <w:tblW w:w="9358"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1245"/>
        <w:gridCol w:w="245"/>
        <w:gridCol w:w="24"/>
        <w:gridCol w:w="19"/>
        <w:gridCol w:w="732"/>
        <w:gridCol w:w="66"/>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评价因素</w:t>
            </w:r>
          </w:p>
        </w:tc>
        <w:tc>
          <w:tcPr>
            <w:tcW w:w="102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权重</w:t>
            </w:r>
          </w:p>
          <w:p>
            <w:pPr>
              <w:spacing w:line="360" w:lineRule="auto"/>
              <w:jc w:val="center"/>
              <w:rPr>
                <w:rFonts w:ascii="宋体" w:hAnsi="宋体" w:eastAsia="宋体"/>
                <w:sz w:val="24"/>
                <w:szCs w:val="24"/>
              </w:rPr>
            </w:pPr>
            <w:r>
              <w:rPr>
                <w:rFonts w:hint="eastAsia" w:ascii="宋体" w:hAnsi="宋体" w:eastAsia="宋体"/>
                <w:sz w:val="24"/>
                <w:szCs w:val="24"/>
              </w:rPr>
              <w:t>（满分）</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196"/>
              <w:jc w:val="center"/>
              <w:rPr>
                <w:rFonts w:ascii="宋体" w:hAnsi="宋体" w:eastAsia="宋体"/>
                <w:sz w:val="24"/>
                <w:szCs w:val="24"/>
              </w:rPr>
            </w:pPr>
            <w:r>
              <w:rPr>
                <w:rFonts w:hint="eastAsia" w:ascii="宋体" w:hAnsi="宋体" w:eastAsia="宋体"/>
                <w:sz w:val="24"/>
                <w:szCs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8"/>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一 、投标报价（满分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16" w:type="dxa"/>
            <w:gridSpan w:val="4"/>
            <w:tcBorders>
              <w:right w:val="single" w:color="auto" w:sz="4" w:space="0"/>
            </w:tcBorders>
            <w:vAlign w:val="center"/>
          </w:tcPr>
          <w:p>
            <w:pPr>
              <w:spacing w:line="360" w:lineRule="auto"/>
              <w:ind w:firstLine="480" w:firstLineChars="200"/>
              <w:rPr>
                <w:rFonts w:ascii="宋体" w:hAnsi="宋体" w:eastAsia="宋体"/>
                <w:sz w:val="24"/>
                <w:szCs w:val="24"/>
              </w:rPr>
            </w:pPr>
            <w:r>
              <w:rPr>
                <w:rFonts w:hint="eastAsia" w:ascii="宋体" w:hAnsi="宋体" w:eastAsia="宋体"/>
                <w:sz w:val="24"/>
                <w:szCs w:val="24"/>
              </w:rPr>
              <w:t>投标报价</w:t>
            </w:r>
          </w:p>
        </w:tc>
        <w:tc>
          <w:tcPr>
            <w:tcW w:w="817" w:type="dxa"/>
            <w:gridSpan w:val="3"/>
            <w:tcBorders>
              <w:left w:val="single" w:color="auto" w:sz="4" w:space="0"/>
              <w:right w:val="single" w:color="auto" w:sz="4" w:space="0"/>
            </w:tcBorders>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30</w:t>
            </w:r>
          </w:p>
        </w:tc>
        <w:tc>
          <w:tcPr>
            <w:tcW w:w="6325" w:type="dxa"/>
            <w:tcBorders>
              <w:lef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投标文件中的有效最低折扣为基准折扣率，投标报价得分=（基准折扣／投标报价）×30。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8"/>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二、技术性能（满分 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35" w:type="dxa"/>
            <w:gridSpan w:val="5"/>
            <w:tcBorders>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技术性能、维修、运行</w:t>
            </w:r>
          </w:p>
        </w:tc>
        <w:tc>
          <w:tcPr>
            <w:tcW w:w="798" w:type="dxa"/>
            <w:gridSpan w:val="2"/>
            <w:tcBorders>
              <w:left w:val="single" w:color="auto" w:sz="4" w:space="0"/>
              <w:right w:val="single" w:color="auto" w:sz="4" w:space="0"/>
            </w:tcBorders>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40</w:t>
            </w:r>
          </w:p>
        </w:tc>
        <w:tc>
          <w:tcPr>
            <w:tcW w:w="6325" w:type="dxa"/>
            <w:tcBorders>
              <w:lef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采访及编目数据（6分）：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全面及时提供纸质版和电子版期刊采访目录，得3分；提供适合馆藏的完整期刊编目MARC数据，（附MARC详细加工样式）完全符合得3分。</w:t>
            </w:r>
          </w:p>
          <w:p>
            <w:pPr>
              <w:spacing w:line="360" w:lineRule="auto"/>
              <w:rPr>
                <w:rFonts w:ascii="宋体" w:hAnsi="宋体" w:eastAsia="宋体"/>
                <w:sz w:val="24"/>
                <w:szCs w:val="24"/>
              </w:rPr>
            </w:pPr>
            <w:r>
              <w:rPr>
                <w:rFonts w:hint="eastAsia" w:ascii="宋体" w:hAnsi="宋体" w:eastAsia="宋体"/>
                <w:sz w:val="24"/>
                <w:szCs w:val="24"/>
              </w:rPr>
              <w:t>送货承诺（5分）：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投标人承诺提供送货到馆服务得3分；每周至少一次得2分。</w:t>
            </w:r>
          </w:p>
          <w:p>
            <w:pPr>
              <w:spacing w:line="360" w:lineRule="auto"/>
              <w:rPr>
                <w:rFonts w:ascii="宋体" w:hAnsi="宋体" w:eastAsia="宋体"/>
                <w:sz w:val="24"/>
                <w:szCs w:val="24"/>
              </w:rPr>
            </w:pPr>
            <w:r>
              <w:rPr>
                <w:rFonts w:hint="eastAsia" w:ascii="宋体" w:hAnsi="宋体" w:eastAsia="宋体"/>
                <w:sz w:val="24"/>
                <w:szCs w:val="24"/>
              </w:rPr>
              <w:t>清单（3分）：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详尽（含总清单和包清单）得3分，不提供得0分。</w:t>
            </w:r>
          </w:p>
          <w:p>
            <w:pPr>
              <w:spacing w:line="360" w:lineRule="auto"/>
              <w:rPr>
                <w:rFonts w:ascii="宋体" w:hAnsi="宋体" w:eastAsia="宋体"/>
                <w:sz w:val="24"/>
                <w:szCs w:val="24"/>
              </w:rPr>
            </w:pPr>
            <w:r>
              <w:rPr>
                <w:rFonts w:hint="eastAsia" w:ascii="宋体" w:hAnsi="宋体" w:eastAsia="宋体"/>
                <w:sz w:val="24"/>
                <w:szCs w:val="24"/>
              </w:rPr>
              <w:t>查询网站（</w:t>
            </w:r>
            <w:r>
              <w:rPr>
                <w:rFonts w:ascii="宋体" w:hAnsi="宋体" w:eastAsia="宋体"/>
                <w:sz w:val="24"/>
                <w:szCs w:val="24"/>
              </w:rPr>
              <w:t>5</w:t>
            </w:r>
            <w:r>
              <w:rPr>
                <w:rFonts w:hint="eastAsia" w:ascii="宋体" w:hAnsi="宋体" w:eastAsia="宋体"/>
                <w:sz w:val="24"/>
                <w:szCs w:val="24"/>
              </w:rPr>
              <w:t>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具有可查询发货信息等功能的商务网站得</w:t>
            </w:r>
            <w:r>
              <w:rPr>
                <w:rFonts w:ascii="宋体" w:hAnsi="宋体" w:eastAsia="宋体"/>
                <w:sz w:val="24"/>
                <w:szCs w:val="24"/>
              </w:rPr>
              <w:t>5</w:t>
            </w:r>
            <w:r>
              <w:rPr>
                <w:rFonts w:hint="eastAsia" w:ascii="宋体" w:hAnsi="宋体" w:eastAsia="宋体"/>
                <w:sz w:val="24"/>
                <w:szCs w:val="24"/>
              </w:rPr>
              <w:t>分，提供网站截图，没有得0分。</w:t>
            </w:r>
          </w:p>
          <w:p>
            <w:pPr>
              <w:spacing w:line="360" w:lineRule="auto"/>
              <w:rPr>
                <w:rFonts w:ascii="宋体" w:hAnsi="宋体" w:eastAsia="宋体"/>
                <w:sz w:val="24"/>
                <w:szCs w:val="24"/>
              </w:rPr>
            </w:pPr>
            <w:r>
              <w:rPr>
                <w:rFonts w:hint="eastAsia" w:ascii="宋体" w:hAnsi="宋体" w:eastAsia="宋体"/>
                <w:sz w:val="24"/>
                <w:szCs w:val="24"/>
              </w:rPr>
              <w:t>到刊率（5分）：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提供五家上年度合作单位到刊率，到货全达到99%及以上得5分，其余不得分。</w:t>
            </w:r>
          </w:p>
          <w:p>
            <w:pPr>
              <w:spacing w:line="360" w:lineRule="auto"/>
              <w:rPr>
                <w:rFonts w:ascii="宋体" w:hAnsi="宋体" w:eastAsia="宋体"/>
                <w:sz w:val="24"/>
                <w:szCs w:val="24"/>
              </w:rPr>
            </w:pPr>
            <w:r>
              <w:rPr>
                <w:rFonts w:hint="eastAsia" w:ascii="宋体" w:hAnsi="宋体" w:eastAsia="宋体"/>
                <w:sz w:val="24"/>
                <w:szCs w:val="24"/>
              </w:rPr>
              <w:t>催缺工作（6分）：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有详细的查缺安排计划，按照查缺安排计划打分，每少一项扣2分，扣完为止。</w:t>
            </w:r>
          </w:p>
          <w:p>
            <w:pPr>
              <w:spacing w:line="360" w:lineRule="auto"/>
              <w:rPr>
                <w:rFonts w:ascii="宋体" w:hAnsi="宋体" w:eastAsia="宋体"/>
                <w:sz w:val="24"/>
                <w:szCs w:val="24"/>
              </w:rPr>
            </w:pPr>
            <w:r>
              <w:rPr>
                <w:rFonts w:hint="eastAsia" w:ascii="宋体" w:hAnsi="宋体" w:eastAsia="宋体"/>
                <w:sz w:val="24"/>
                <w:szCs w:val="24"/>
              </w:rPr>
              <w:t>期刊质量（10分）：</w:t>
            </w:r>
          </w:p>
          <w:p>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rPr>
              <w:t>产品质量及验收满足招标项目技术参数要求任意1</w:t>
            </w:r>
            <w:r>
              <w:rPr>
                <w:rFonts w:ascii="宋体" w:hAnsi="宋体" w:eastAsia="宋体"/>
                <w:sz w:val="24"/>
                <w:szCs w:val="24"/>
              </w:rPr>
              <w:t>0</w:t>
            </w:r>
            <w:r>
              <w:rPr>
                <w:rFonts w:hint="eastAsia" w:ascii="宋体" w:hAnsi="宋体" w:eastAsia="宋体"/>
                <w:sz w:val="24"/>
                <w:szCs w:val="24"/>
              </w:rPr>
              <w:t>条得 10 分</w:t>
            </w:r>
            <w:r>
              <w:rPr>
                <w:rFonts w:hint="eastAsia" w:ascii="宋体" w:hAnsi="宋体" w:eastAsia="宋体"/>
                <w:sz w:val="24"/>
                <w:szCs w:val="24"/>
                <w:lang w:eastAsia="zh-CN"/>
              </w:rPr>
              <w:t>（含</w:t>
            </w:r>
            <w:r>
              <w:rPr>
                <w:rFonts w:hint="eastAsia" w:ascii="宋体" w:hAnsi="宋体" w:eastAsia="宋体"/>
                <w:sz w:val="24"/>
                <w:szCs w:val="24"/>
                <w:lang w:val="en-US" w:eastAsia="zh-CN"/>
              </w:rPr>
              <w:t>10条</w:t>
            </w:r>
            <w:r>
              <w:rPr>
                <w:rFonts w:hint="eastAsia" w:ascii="宋体" w:hAnsi="宋体" w:eastAsia="宋体"/>
                <w:sz w:val="24"/>
                <w:szCs w:val="24"/>
                <w:lang w:eastAsia="zh-CN"/>
              </w:rPr>
              <w:t>）</w:t>
            </w:r>
            <w:r>
              <w:rPr>
                <w:rFonts w:hint="eastAsia" w:ascii="宋体" w:hAnsi="宋体" w:eastAsia="宋体"/>
                <w:sz w:val="24"/>
                <w:szCs w:val="24"/>
              </w:rPr>
              <w:t>；满足招标项目技术参数要求任意5条</w:t>
            </w:r>
            <w:r>
              <w:rPr>
                <w:rFonts w:hint="eastAsia" w:ascii="宋体" w:hAnsi="宋体" w:eastAsia="宋体"/>
                <w:sz w:val="24"/>
                <w:szCs w:val="24"/>
                <w:lang w:eastAsia="zh-CN"/>
              </w:rPr>
              <w:t>以上</w:t>
            </w:r>
            <w:r>
              <w:rPr>
                <w:rFonts w:hint="eastAsia" w:ascii="宋体" w:hAnsi="宋体" w:eastAsia="宋体"/>
                <w:sz w:val="24"/>
                <w:szCs w:val="24"/>
              </w:rPr>
              <w:t>得</w:t>
            </w:r>
            <w:r>
              <w:rPr>
                <w:rFonts w:ascii="宋体" w:hAnsi="宋体" w:eastAsia="宋体"/>
                <w:sz w:val="24"/>
                <w:szCs w:val="24"/>
              </w:rPr>
              <w:t>5</w:t>
            </w:r>
            <w:r>
              <w:rPr>
                <w:rFonts w:hint="eastAsia" w:ascii="宋体" w:hAnsi="宋体" w:eastAsia="宋体"/>
                <w:sz w:val="24"/>
                <w:szCs w:val="24"/>
              </w:rPr>
              <w:t>分；</w:t>
            </w:r>
            <w:r>
              <w:rPr>
                <w:rFonts w:hint="eastAsia" w:ascii="宋体" w:hAnsi="宋体" w:eastAsia="宋体"/>
                <w:sz w:val="24"/>
                <w:szCs w:val="24"/>
                <w:lang w:eastAsia="zh-CN"/>
              </w:rPr>
              <w:t>只</w:t>
            </w:r>
            <w:r>
              <w:rPr>
                <w:rFonts w:hint="eastAsia" w:ascii="宋体" w:hAnsi="宋体" w:eastAsia="宋体"/>
                <w:sz w:val="24"/>
                <w:szCs w:val="24"/>
              </w:rPr>
              <w:t>满足招标项目技术参数要求5条以下得</w:t>
            </w:r>
            <w:r>
              <w:rPr>
                <w:rFonts w:ascii="宋体" w:hAnsi="宋体" w:eastAsia="宋体"/>
                <w:sz w:val="24"/>
                <w:szCs w:val="24"/>
              </w:rPr>
              <w:t>0</w:t>
            </w:r>
            <w:r>
              <w:rPr>
                <w:rFonts w:hint="eastAsia" w:ascii="宋体" w:hAnsi="宋体" w:eastAsia="宋体"/>
                <w:sz w:val="24"/>
                <w:szCs w:val="24"/>
              </w:rPr>
              <w:t>分。</w:t>
            </w:r>
            <w:r>
              <w:rPr>
                <w:rFonts w:hint="eastAsia" w:ascii="宋体" w:hAnsi="宋体" w:eastAsia="宋体"/>
                <w:sz w:val="24"/>
                <w:szCs w:val="24"/>
                <w:lang w:eastAsia="zh-CN"/>
              </w:rPr>
              <w:t>（含</w:t>
            </w:r>
            <w:r>
              <w:rPr>
                <w:rFonts w:hint="eastAsia" w:ascii="宋体" w:hAnsi="宋体" w:eastAsia="宋体"/>
                <w:sz w:val="24"/>
                <w:szCs w:val="24"/>
                <w:lang w:val="en-US" w:eastAsia="zh-CN"/>
              </w:rPr>
              <w:t>5条</w:t>
            </w:r>
            <w:r>
              <w:rPr>
                <w:rFonts w:hint="eastAsia" w:ascii="宋体" w:hAnsi="宋体"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8"/>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三、商务部分（满分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1</w:t>
            </w:r>
          </w:p>
        </w:tc>
        <w:tc>
          <w:tcPr>
            <w:tcW w:w="1490" w:type="dxa"/>
            <w:gridSpan w:val="2"/>
            <w:vAlign w:val="center"/>
          </w:tcPr>
          <w:p>
            <w:pPr>
              <w:spacing w:line="360" w:lineRule="auto"/>
              <w:ind w:firstLine="470" w:firstLineChars="196"/>
              <w:jc w:val="left"/>
              <w:rPr>
                <w:rFonts w:ascii="宋体" w:hAnsi="宋体" w:eastAsia="宋体"/>
                <w:sz w:val="24"/>
                <w:szCs w:val="24"/>
              </w:rPr>
            </w:pPr>
            <w:r>
              <w:rPr>
                <w:rFonts w:hint="eastAsia" w:ascii="宋体" w:hAnsi="宋体" w:eastAsia="宋体"/>
                <w:sz w:val="24"/>
                <w:szCs w:val="24"/>
              </w:rPr>
              <w:t>业绩</w:t>
            </w:r>
          </w:p>
        </w:tc>
        <w:tc>
          <w:tcPr>
            <w:tcW w:w="841" w:type="dxa"/>
            <w:gridSpan w:val="4"/>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10</w:t>
            </w:r>
          </w:p>
        </w:tc>
        <w:tc>
          <w:tcPr>
            <w:tcW w:w="6325" w:type="dxa"/>
            <w:vAlign w:val="center"/>
          </w:tcPr>
          <w:p>
            <w:pPr>
              <w:spacing w:line="360" w:lineRule="auto"/>
              <w:rPr>
                <w:rFonts w:ascii="宋体" w:hAnsi="宋体" w:eastAsia="宋体"/>
                <w:sz w:val="24"/>
                <w:szCs w:val="24"/>
              </w:rPr>
            </w:pPr>
            <w:r>
              <w:rPr>
                <w:rFonts w:hint="eastAsia" w:ascii="宋体" w:hAnsi="宋体" w:eastAsia="宋体"/>
                <w:sz w:val="24"/>
                <w:szCs w:val="24"/>
              </w:rPr>
              <w:t>提供2021年以来（含2021年）与类似项目合作单位数量，10家及以上得10分，5-9家得5分，1-4家得2分</w:t>
            </w:r>
            <w:r>
              <w:rPr>
                <w:rFonts w:hint="eastAsia" w:ascii="宋体" w:hAnsi="宋体" w:eastAsia="宋体"/>
                <w:sz w:val="24"/>
                <w:szCs w:val="24"/>
                <w:lang w:eastAsia="zh-CN"/>
              </w:rPr>
              <w:t>。</w:t>
            </w:r>
            <w:r>
              <w:rPr>
                <w:rFonts w:hint="eastAsia" w:ascii="宋体" w:hAnsi="宋体" w:eastAsia="宋体"/>
                <w:sz w:val="24"/>
                <w:szCs w:val="24"/>
              </w:rPr>
              <w:t>（相同业主不同年度分别计算；须提供合作协议书复印件及合作方联系方式，未提供的得0分）。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2" w:hRule="atLeast"/>
          <w:tblCellSpacing w:w="0" w:type="dxa"/>
        </w:trPr>
        <w:tc>
          <w:tcPr>
            <w:tcW w:w="702" w:type="dxa"/>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2</w:t>
            </w:r>
          </w:p>
        </w:tc>
        <w:tc>
          <w:tcPr>
            <w:tcW w:w="1490" w:type="dxa"/>
            <w:gridSpan w:val="2"/>
            <w:vAlign w:val="center"/>
          </w:tcPr>
          <w:p>
            <w:pPr>
              <w:spacing w:line="360" w:lineRule="auto"/>
              <w:ind w:firstLine="240" w:firstLineChars="100"/>
              <w:jc w:val="left"/>
              <w:rPr>
                <w:rFonts w:ascii="宋体" w:hAnsi="宋体" w:eastAsia="宋体"/>
                <w:sz w:val="24"/>
                <w:szCs w:val="24"/>
              </w:rPr>
            </w:pPr>
            <w:r>
              <w:rPr>
                <w:rFonts w:hint="eastAsia" w:ascii="宋体" w:hAnsi="宋体" w:eastAsia="宋体"/>
                <w:sz w:val="24"/>
                <w:szCs w:val="24"/>
              </w:rPr>
              <w:t>服务能力</w:t>
            </w:r>
          </w:p>
          <w:p>
            <w:pPr>
              <w:spacing w:line="360" w:lineRule="auto"/>
              <w:ind w:firstLine="470" w:firstLineChars="196"/>
              <w:jc w:val="left"/>
              <w:rPr>
                <w:rFonts w:ascii="宋体" w:hAnsi="宋体" w:eastAsia="宋体"/>
                <w:sz w:val="24"/>
                <w:szCs w:val="24"/>
              </w:rPr>
            </w:pPr>
          </w:p>
        </w:tc>
        <w:tc>
          <w:tcPr>
            <w:tcW w:w="841" w:type="dxa"/>
            <w:gridSpan w:val="4"/>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9</w:t>
            </w:r>
          </w:p>
        </w:tc>
        <w:tc>
          <w:tcPr>
            <w:tcW w:w="6325" w:type="dxa"/>
            <w:vAlign w:val="center"/>
          </w:tcPr>
          <w:p>
            <w:pPr>
              <w:spacing w:line="360" w:lineRule="auto"/>
              <w:rPr>
                <w:rFonts w:ascii="宋体" w:hAnsi="宋体" w:eastAsia="宋体"/>
                <w:sz w:val="24"/>
                <w:szCs w:val="24"/>
              </w:rPr>
            </w:pPr>
            <w:r>
              <w:rPr>
                <w:rFonts w:hint="eastAsia" w:ascii="宋体" w:hAnsi="宋体" w:eastAsia="宋体"/>
                <w:sz w:val="24"/>
                <w:szCs w:val="24"/>
              </w:rPr>
              <w:t>1、提供至少6名国家图书馆颁发的全国图书馆联合编目中心资格证书的得3分，未提供得0分。此基础上，提供与国家图书馆签订的全国图书馆联合编目中心用户上传及下载协议书的得3分。</w:t>
            </w:r>
          </w:p>
          <w:p>
            <w:pPr>
              <w:spacing w:line="360" w:lineRule="auto"/>
              <w:rPr>
                <w:rFonts w:ascii="宋体" w:hAnsi="宋体" w:eastAsia="宋体"/>
                <w:sz w:val="24"/>
                <w:szCs w:val="24"/>
              </w:rPr>
            </w:pPr>
            <w:r>
              <w:rPr>
                <w:rFonts w:hint="eastAsia" w:ascii="宋体" w:hAnsi="宋体" w:eastAsia="宋体"/>
                <w:sz w:val="24"/>
                <w:szCs w:val="24"/>
              </w:rPr>
              <w:t>2、投标人在项目所在地具有售后服务机构，经营面积达到300平方米及以上的得3分，没有得0分。（提供售后服务机构房权证或场地租凭复印件证明）。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blCellSpacing w:w="0" w:type="dxa"/>
        </w:trPr>
        <w:tc>
          <w:tcPr>
            <w:tcW w:w="702" w:type="dxa"/>
            <w:tcBorders>
              <w:bottom w:val="single" w:color="auto" w:sz="4" w:space="0"/>
            </w:tcBorders>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3</w:t>
            </w:r>
          </w:p>
        </w:tc>
        <w:tc>
          <w:tcPr>
            <w:tcW w:w="1490" w:type="dxa"/>
            <w:gridSpan w:val="2"/>
            <w:tcBorders>
              <w:bottom w:val="single" w:color="auto" w:sz="4" w:space="0"/>
            </w:tcBorders>
            <w:vAlign w:val="center"/>
          </w:tcPr>
          <w:p>
            <w:pPr>
              <w:spacing w:line="360" w:lineRule="auto"/>
              <w:ind w:firstLine="470" w:firstLineChars="196"/>
              <w:jc w:val="left"/>
              <w:rPr>
                <w:rFonts w:ascii="宋体" w:hAnsi="宋体" w:eastAsia="宋体"/>
                <w:sz w:val="24"/>
                <w:szCs w:val="24"/>
              </w:rPr>
            </w:pPr>
            <w:r>
              <w:rPr>
                <w:rFonts w:hint="eastAsia" w:ascii="宋体" w:hAnsi="宋体" w:eastAsia="宋体"/>
                <w:sz w:val="24"/>
                <w:szCs w:val="24"/>
              </w:rPr>
              <w:t>荣誉</w:t>
            </w:r>
          </w:p>
        </w:tc>
        <w:tc>
          <w:tcPr>
            <w:tcW w:w="841" w:type="dxa"/>
            <w:gridSpan w:val="4"/>
            <w:tcBorders>
              <w:bottom w:val="single" w:color="auto" w:sz="4" w:space="0"/>
            </w:tcBorders>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11</w:t>
            </w:r>
          </w:p>
        </w:tc>
        <w:tc>
          <w:tcPr>
            <w:tcW w:w="6325" w:type="dxa"/>
            <w:tcBorders>
              <w:bottom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1、投标人获得质量管理体系认证书得</w:t>
            </w:r>
            <w:r>
              <w:rPr>
                <w:rFonts w:ascii="宋体" w:hAnsi="宋体" w:eastAsia="宋体"/>
                <w:sz w:val="24"/>
                <w:szCs w:val="24"/>
              </w:rPr>
              <w:t>3</w:t>
            </w:r>
            <w:r>
              <w:rPr>
                <w:rFonts w:hint="eastAsia" w:ascii="宋体" w:hAnsi="宋体" w:eastAsia="宋体"/>
                <w:sz w:val="24"/>
                <w:szCs w:val="24"/>
              </w:rPr>
              <w:t>分，获得信息安全管理体系认证证书的得</w:t>
            </w:r>
            <w:r>
              <w:rPr>
                <w:rFonts w:ascii="宋体" w:hAnsi="宋体" w:eastAsia="宋体"/>
                <w:sz w:val="24"/>
                <w:szCs w:val="24"/>
              </w:rPr>
              <w:t>3</w:t>
            </w:r>
            <w:r>
              <w:rPr>
                <w:rFonts w:hint="eastAsia" w:ascii="宋体" w:hAnsi="宋体" w:eastAsia="宋体"/>
                <w:sz w:val="24"/>
                <w:szCs w:val="24"/>
              </w:rPr>
              <w:t>分；</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、投标人提供连续3年被图书馆报评为全国优秀馆配商或综合实力奖的得2分，不提供不得分。</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、投标人获得期刊出版授权书证明200家及以上得3分，150-200家得2分，100-150家得1分，100家以下得0分。</w:t>
            </w:r>
          </w:p>
        </w:tc>
      </w:tr>
    </w:tbl>
    <w:p>
      <w:pPr>
        <w:spacing w:line="360" w:lineRule="auto"/>
        <w:ind w:firstLine="470" w:firstLineChars="196"/>
        <w:rPr>
          <w:rFonts w:ascii="宋体" w:hAnsi="宋体" w:eastAsia="宋体"/>
          <w:sz w:val="24"/>
          <w:szCs w:val="24"/>
        </w:rPr>
      </w:pPr>
    </w:p>
    <w:p>
      <w:pPr>
        <w:pStyle w:val="2"/>
        <w:spacing w:line="400" w:lineRule="exact"/>
        <w:jc w:val="center"/>
        <w:rPr>
          <w:rFonts w:ascii="宋体" w:hAnsi="宋体" w:eastAsia="宋体"/>
          <w:color w:val="000000"/>
          <w:sz w:val="36"/>
          <w:szCs w:val="36"/>
        </w:rPr>
      </w:pPr>
    </w:p>
    <w:p>
      <w:pPr>
        <w:rPr>
          <w:rFonts w:hint="eastAsia" w:ascii="宋体" w:hAnsi="宋体" w:eastAsia="宋体"/>
          <w:color w:val="000000"/>
          <w:sz w:val="36"/>
          <w:szCs w:val="36"/>
        </w:rPr>
      </w:pPr>
    </w:p>
    <w:p>
      <w:pPr>
        <w:ind w:firstLine="2160"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3"/>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1"/>
        <w:spacing w:line="400" w:lineRule="exact"/>
        <w:ind w:firstLine="0"/>
        <w:rPr>
          <w:rFonts w:ascii="宋体" w:hAnsi="宋体" w:eastAsia="宋体"/>
          <w:bCs/>
          <w:sz w:val="24"/>
          <w:szCs w:val="24"/>
        </w:rPr>
      </w:pPr>
    </w:p>
    <w:p>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8"/>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282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825"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39"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spacing w:line="360" w:lineRule="auto"/>
              <w:jc w:val="center"/>
              <w:rPr>
                <w:rFonts w:ascii="宋体" w:hAnsi="宋体" w:eastAsia="宋体" w:cs="仿宋"/>
                <w:sz w:val="21"/>
                <w:szCs w:val="21"/>
              </w:rPr>
            </w:pPr>
          </w:p>
        </w:tc>
        <w:tc>
          <w:tcPr>
            <w:tcW w:w="2825" w:type="dxa"/>
            <w:vAlign w:val="center"/>
          </w:tcPr>
          <w:p>
            <w:pPr>
              <w:pStyle w:val="38"/>
              <w:spacing w:line="360" w:lineRule="auto"/>
              <w:jc w:val="center"/>
              <w:rPr>
                <w:rFonts w:ascii="宋体" w:hAnsi="宋体" w:eastAsia="宋体" w:cs="仿宋"/>
                <w:sz w:val="21"/>
                <w:szCs w:val="21"/>
              </w:rPr>
            </w:pPr>
          </w:p>
        </w:tc>
        <w:tc>
          <w:tcPr>
            <w:tcW w:w="2239"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2825" w:type="dxa"/>
            <w:vAlign w:val="center"/>
          </w:tcPr>
          <w:p>
            <w:pPr>
              <w:pStyle w:val="38"/>
              <w:jc w:val="center"/>
              <w:rPr>
                <w:rFonts w:ascii="宋体" w:hAnsi="宋体" w:eastAsia="宋体" w:cs="仿宋"/>
                <w:sz w:val="21"/>
                <w:szCs w:val="21"/>
              </w:rPr>
            </w:pPr>
          </w:p>
        </w:tc>
        <w:tc>
          <w:tcPr>
            <w:tcW w:w="2239"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2825" w:type="dxa"/>
            <w:vAlign w:val="center"/>
          </w:tcPr>
          <w:p>
            <w:pPr>
              <w:pStyle w:val="38"/>
              <w:jc w:val="center"/>
              <w:rPr>
                <w:rFonts w:ascii="宋体" w:hAnsi="宋体" w:eastAsia="宋体" w:cs="仿宋"/>
                <w:sz w:val="21"/>
                <w:szCs w:val="21"/>
              </w:rPr>
            </w:pPr>
          </w:p>
        </w:tc>
        <w:tc>
          <w:tcPr>
            <w:tcW w:w="2239"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2825" w:type="dxa"/>
            <w:vAlign w:val="center"/>
          </w:tcPr>
          <w:p>
            <w:pPr>
              <w:pStyle w:val="38"/>
              <w:jc w:val="center"/>
              <w:rPr>
                <w:rFonts w:ascii="宋体" w:hAnsi="宋体" w:eastAsia="宋体" w:cs="仿宋"/>
                <w:sz w:val="21"/>
                <w:szCs w:val="21"/>
              </w:rPr>
            </w:pPr>
          </w:p>
        </w:tc>
        <w:tc>
          <w:tcPr>
            <w:tcW w:w="2239"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2825" w:type="dxa"/>
            <w:vAlign w:val="center"/>
          </w:tcPr>
          <w:p>
            <w:pPr>
              <w:pStyle w:val="38"/>
              <w:jc w:val="center"/>
              <w:rPr>
                <w:rFonts w:ascii="宋体" w:hAnsi="宋体" w:eastAsia="宋体" w:cs="仿宋"/>
                <w:sz w:val="21"/>
                <w:szCs w:val="21"/>
              </w:rPr>
            </w:pPr>
          </w:p>
        </w:tc>
        <w:tc>
          <w:tcPr>
            <w:tcW w:w="2239"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2825" w:type="dxa"/>
            <w:vAlign w:val="center"/>
          </w:tcPr>
          <w:p>
            <w:pPr>
              <w:pStyle w:val="38"/>
              <w:jc w:val="center"/>
              <w:rPr>
                <w:rFonts w:ascii="宋体" w:hAnsi="宋体" w:eastAsia="宋体" w:cs="仿宋"/>
                <w:sz w:val="21"/>
                <w:szCs w:val="21"/>
              </w:rPr>
            </w:pPr>
          </w:p>
        </w:tc>
        <w:tc>
          <w:tcPr>
            <w:tcW w:w="2239"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2825" w:type="dxa"/>
            <w:vAlign w:val="center"/>
          </w:tcPr>
          <w:p>
            <w:pPr>
              <w:pStyle w:val="38"/>
              <w:jc w:val="center"/>
              <w:rPr>
                <w:rFonts w:ascii="宋体" w:hAnsi="宋体" w:eastAsia="宋体" w:cs="仿宋"/>
                <w:sz w:val="21"/>
                <w:szCs w:val="21"/>
              </w:rPr>
            </w:pPr>
          </w:p>
        </w:tc>
        <w:tc>
          <w:tcPr>
            <w:tcW w:w="2239"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2825" w:type="dxa"/>
            <w:vAlign w:val="center"/>
          </w:tcPr>
          <w:p>
            <w:pPr>
              <w:pStyle w:val="38"/>
              <w:jc w:val="center"/>
              <w:rPr>
                <w:rFonts w:ascii="宋体" w:hAnsi="宋体" w:eastAsia="宋体" w:cs="仿宋"/>
                <w:sz w:val="21"/>
                <w:szCs w:val="21"/>
              </w:rPr>
            </w:pPr>
          </w:p>
        </w:tc>
        <w:tc>
          <w:tcPr>
            <w:tcW w:w="2239" w:type="dxa"/>
            <w:vAlign w:val="center"/>
          </w:tcPr>
          <w:p>
            <w:pPr>
              <w:pStyle w:val="38"/>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18"/>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533"/>
        <w:gridCol w:w="2356"/>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533"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356"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09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533" w:type="dxa"/>
            <w:vAlign w:val="center"/>
          </w:tcPr>
          <w:p>
            <w:pPr>
              <w:pStyle w:val="38"/>
              <w:spacing w:line="360" w:lineRule="auto"/>
              <w:jc w:val="center"/>
              <w:rPr>
                <w:rFonts w:ascii="宋体" w:hAnsi="宋体" w:eastAsia="宋体" w:cs="仿宋"/>
                <w:sz w:val="21"/>
                <w:szCs w:val="21"/>
              </w:rPr>
            </w:pPr>
          </w:p>
        </w:tc>
        <w:tc>
          <w:tcPr>
            <w:tcW w:w="2356" w:type="dxa"/>
            <w:vAlign w:val="center"/>
          </w:tcPr>
          <w:p>
            <w:pPr>
              <w:pStyle w:val="38"/>
              <w:spacing w:line="360" w:lineRule="auto"/>
              <w:jc w:val="center"/>
              <w:rPr>
                <w:rFonts w:ascii="宋体" w:hAnsi="宋体" w:eastAsia="宋体" w:cs="仿宋"/>
                <w:sz w:val="21"/>
                <w:szCs w:val="21"/>
              </w:rPr>
            </w:pPr>
          </w:p>
        </w:tc>
        <w:tc>
          <w:tcPr>
            <w:tcW w:w="2093"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533" w:type="dxa"/>
            <w:vAlign w:val="center"/>
          </w:tcPr>
          <w:p>
            <w:pPr>
              <w:pStyle w:val="38"/>
              <w:jc w:val="center"/>
              <w:rPr>
                <w:rFonts w:ascii="宋体" w:hAnsi="宋体" w:eastAsia="宋体" w:cs="仿宋"/>
                <w:sz w:val="21"/>
                <w:szCs w:val="21"/>
              </w:rPr>
            </w:pPr>
          </w:p>
        </w:tc>
        <w:tc>
          <w:tcPr>
            <w:tcW w:w="2356" w:type="dxa"/>
            <w:vAlign w:val="center"/>
          </w:tcPr>
          <w:p>
            <w:pPr>
              <w:pStyle w:val="38"/>
              <w:jc w:val="center"/>
              <w:rPr>
                <w:rFonts w:ascii="宋体" w:hAnsi="宋体" w:eastAsia="宋体" w:cs="仿宋"/>
                <w:sz w:val="21"/>
                <w:szCs w:val="21"/>
              </w:rPr>
            </w:pPr>
          </w:p>
        </w:tc>
        <w:tc>
          <w:tcPr>
            <w:tcW w:w="209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533" w:type="dxa"/>
            <w:vAlign w:val="center"/>
          </w:tcPr>
          <w:p>
            <w:pPr>
              <w:pStyle w:val="38"/>
              <w:jc w:val="center"/>
              <w:rPr>
                <w:rFonts w:ascii="宋体" w:hAnsi="宋体" w:eastAsia="宋体" w:cs="仿宋"/>
                <w:sz w:val="21"/>
                <w:szCs w:val="21"/>
              </w:rPr>
            </w:pPr>
          </w:p>
        </w:tc>
        <w:tc>
          <w:tcPr>
            <w:tcW w:w="2356" w:type="dxa"/>
            <w:vAlign w:val="center"/>
          </w:tcPr>
          <w:p>
            <w:pPr>
              <w:pStyle w:val="38"/>
              <w:jc w:val="center"/>
              <w:rPr>
                <w:rFonts w:ascii="宋体" w:hAnsi="宋体" w:eastAsia="宋体" w:cs="仿宋"/>
                <w:sz w:val="21"/>
                <w:szCs w:val="21"/>
              </w:rPr>
            </w:pPr>
          </w:p>
        </w:tc>
        <w:tc>
          <w:tcPr>
            <w:tcW w:w="209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533" w:type="dxa"/>
            <w:vAlign w:val="center"/>
          </w:tcPr>
          <w:p>
            <w:pPr>
              <w:pStyle w:val="38"/>
              <w:jc w:val="center"/>
              <w:rPr>
                <w:rFonts w:ascii="宋体" w:hAnsi="宋体" w:eastAsia="宋体" w:cs="仿宋"/>
                <w:sz w:val="21"/>
                <w:szCs w:val="21"/>
              </w:rPr>
            </w:pPr>
          </w:p>
        </w:tc>
        <w:tc>
          <w:tcPr>
            <w:tcW w:w="2356" w:type="dxa"/>
            <w:vAlign w:val="center"/>
          </w:tcPr>
          <w:p>
            <w:pPr>
              <w:pStyle w:val="38"/>
              <w:jc w:val="center"/>
              <w:rPr>
                <w:rFonts w:ascii="宋体" w:hAnsi="宋体" w:eastAsia="宋体" w:cs="仿宋"/>
                <w:sz w:val="21"/>
                <w:szCs w:val="21"/>
              </w:rPr>
            </w:pPr>
          </w:p>
        </w:tc>
        <w:tc>
          <w:tcPr>
            <w:tcW w:w="209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533" w:type="dxa"/>
            <w:vAlign w:val="center"/>
          </w:tcPr>
          <w:p>
            <w:pPr>
              <w:pStyle w:val="38"/>
              <w:jc w:val="center"/>
              <w:rPr>
                <w:rFonts w:ascii="宋体" w:hAnsi="宋体" w:eastAsia="宋体" w:cs="仿宋"/>
                <w:sz w:val="21"/>
                <w:szCs w:val="21"/>
              </w:rPr>
            </w:pPr>
          </w:p>
        </w:tc>
        <w:tc>
          <w:tcPr>
            <w:tcW w:w="2356" w:type="dxa"/>
            <w:vAlign w:val="center"/>
          </w:tcPr>
          <w:p>
            <w:pPr>
              <w:pStyle w:val="38"/>
              <w:jc w:val="center"/>
              <w:rPr>
                <w:rFonts w:ascii="宋体" w:hAnsi="宋体" w:eastAsia="宋体" w:cs="仿宋"/>
                <w:sz w:val="21"/>
                <w:szCs w:val="21"/>
              </w:rPr>
            </w:pPr>
          </w:p>
        </w:tc>
        <w:tc>
          <w:tcPr>
            <w:tcW w:w="209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533" w:type="dxa"/>
            <w:vAlign w:val="center"/>
          </w:tcPr>
          <w:p>
            <w:pPr>
              <w:pStyle w:val="38"/>
              <w:jc w:val="center"/>
              <w:rPr>
                <w:rFonts w:ascii="宋体" w:hAnsi="宋体" w:eastAsia="宋体" w:cs="仿宋"/>
                <w:sz w:val="21"/>
                <w:szCs w:val="21"/>
              </w:rPr>
            </w:pPr>
          </w:p>
        </w:tc>
        <w:tc>
          <w:tcPr>
            <w:tcW w:w="2356" w:type="dxa"/>
            <w:vAlign w:val="center"/>
          </w:tcPr>
          <w:p>
            <w:pPr>
              <w:pStyle w:val="38"/>
              <w:jc w:val="center"/>
              <w:rPr>
                <w:rFonts w:ascii="宋体" w:hAnsi="宋体" w:eastAsia="宋体" w:cs="仿宋"/>
                <w:sz w:val="21"/>
                <w:szCs w:val="21"/>
              </w:rPr>
            </w:pPr>
          </w:p>
        </w:tc>
        <w:tc>
          <w:tcPr>
            <w:tcW w:w="209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533" w:type="dxa"/>
            <w:vAlign w:val="center"/>
          </w:tcPr>
          <w:p>
            <w:pPr>
              <w:pStyle w:val="38"/>
              <w:jc w:val="center"/>
              <w:rPr>
                <w:rFonts w:ascii="宋体" w:hAnsi="宋体" w:eastAsia="宋体" w:cs="仿宋"/>
                <w:sz w:val="21"/>
                <w:szCs w:val="21"/>
              </w:rPr>
            </w:pPr>
          </w:p>
        </w:tc>
        <w:tc>
          <w:tcPr>
            <w:tcW w:w="2356" w:type="dxa"/>
            <w:vAlign w:val="center"/>
          </w:tcPr>
          <w:p>
            <w:pPr>
              <w:pStyle w:val="38"/>
              <w:jc w:val="center"/>
              <w:rPr>
                <w:rFonts w:ascii="宋体" w:hAnsi="宋体" w:eastAsia="宋体" w:cs="仿宋"/>
                <w:sz w:val="21"/>
                <w:szCs w:val="21"/>
              </w:rPr>
            </w:pPr>
          </w:p>
        </w:tc>
        <w:tc>
          <w:tcPr>
            <w:tcW w:w="209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3533" w:type="dxa"/>
            <w:vAlign w:val="center"/>
          </w:tcPr>
          <w:p>
            <w:pPr>
              <w:pStyle w:val="38"/>
              <w:jc w:val="center"/>
              <w:rPr>
                <w:rFonts w:ascii="宋体" w:hAnsi="宋体" w:eastAsia="宋体" w:cs="仿宋"/>
                <w:sz w:val="21"/>
                <w:szCs w:val="21"/>
              </w:rPr>
            </w:pPr>
          </w:p>
        </w:tc>
        <w:tc>
          <w:tcPr>
            <w:tcW w:w="2356" w:type="dxa"/>
            <w:vAlign w:val="center"/>
          </w:tcPr>
          <w:p>
            <w:pPr>
              <w:pStyle w:val="38"/>
              <w:jc w:val="center"/>
              <w:rPr>
                <w:rFonts w:ascii="宋体" w:hAnsi="宋体" w:eastAsia="宋体" w:cs="仿宋"/>
                <w:sz w:val="21"/>
                <w:szCs w:val="21"/>
              </w:rPr>
            </w:pPr>
          </w:p>
        </w:tc>
        <w:tc>
          <w:tcPr>
            <w:tcW w:w="2093" w:type="dxa"/>
            <w:vAlign w:val="center"/>
          </w:tcPr>
          <w:p>
            <w:pPr>
              <w:pStyle w:val="38"/>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color w:val="000000"/>
          <w:sz w:val="36"/>
          <w:szCs w:val="36"/>
        </w:rPr>
      </w:pPr>
      <w:bookmarkStart w:id="31" w:name="_Toc13707"/>
      <w:bookmarkStart w:id="32" w:name="_Toc31585"/>
      <w:bookmarkStart w:id="33" w:name="_Toc26179"/>
      <w:r>
        <w:rPr>
          <w:rFonts w:hint="eastAsia" w:ascii="宋体" w:hAnsi="宋体" w:eastAsia="宋体"/>
          <w:color w:val="000000"/>
          <w:sz w:val="36"/>
          <w:szCs w:val="36"/>
        </w:rPr>
        <w:t>第七章 采购合同条款（草案）</w:t>
      </w:r>
      <w:bookmarkEnd w:id="31"/>
      <w:bookmarkEnd w:id="32"/>
      <w:bookmarkEnd w:id="33"/>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EF9F9422"/>
    <w:multiLevelType w:val="singleLevel"/>
    <w:tmpl w:val="EF9F9422"/>
    <w:lvl w:ilvl="0" w:tentative="0">
      <w:start w:val="7"/>
      <w:numFmt w:val="chineseCounting"/>
      <w:suff w:val="nothing"/>
      <w:lvlText w:val="%1、"/>
      <w:lvlJc w:val="left"/>
      <w:rPr>
        <w:rFonts w:hint="eastAsia"/>
      </w:rPr>
    </w:lvl>
  </w:abstractNum>
  <w:abstractNum w:abstractNumId="2">
    <w:nsid w:val="10289B0C"/>
    <w:multiLevelType w:val="singleLevel"/>
    <w:tmpl w:val="10289B0C"/>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24A0A"/>
    <w:rsid w:val="003569BD"/>
    <w:rsid w:val="00357EDC"/>
    <w:rsid w:val="003738CF"/>
    <w:rsid w:val="003834B9"/>
    <w:rsid w:val="003E3E28"/>
    <w:rsid w:val="003E7D19"/>
    <w:rsid w:val="00401650"/>
    <w:rsid w:val="00423C78"/>
    <w:rsid w:val="004318DE"/>
    <w:rsid w:val="00440DEA"/>
    <w:rsid w:val="004E4695"/>
    <w:rsid w:val="004F5587"/>
    <w:rsid w:val="00505F07"/>
    <w:rsid w:val="00542BBB"/>
    <w:rsid w:val="00563636"/>
    <w:rsid w:val="0056772B"/>
    <w:rsid w:val="005A403D"/>
    <w:rsid w:val="0060271B"/>
    <w:rsid w:val="00643ADE"/>
    <w:rsid w:val="006544EC"/>
    <w:rsid w:val="006556EA"/>
    <w:rsid w:val="006B5D0A"/>
    <w:rsid w:val="0070549E"/>
    <w:rsid w:val="007350A4"/>
    <w:rsid w:val="007778BD"/>
    <w:rsid w:val="007B6243"/>
    <w:rsid w:val="007E7A49"/>
    <w:rsid w:val="007F0BFD"/>
    <w:rsid w:val="00856815"/>
    <w:rsid w:val="008E5B26"/>
    <w:rsid w:val="008F161F"/>
    <w:rsid w:val="00957BCC"/>
    <w:rsid w:val="009B7C41"/>
    <w:rsid w:val="009C3D5D"/>
    <w:rsid w:val="009D176B"/>
    <w:rsid w:val="00A00917"/>
    <w:rsid w:val="00A47E42"/>
    <w:rsid w:val="00A66191"/>
    <w:rsid w:val="00AD4593"/>
    <w:rsid w:val="00AE68DC"/>
    <w:rsid w:val="00B13195"/>
    <w:rsid w:val="00B54BAD"/>
    <w:rsid w:val="00B56ABE"/>
    <w:rsid w:val="00B94575"/>
    <w:rsid w:val="00B94CE5"/>
    <w:rsid w:val="00BB6994"/>
    <w:rsid w:val="00BC53E6"/>
    <w:rsid w:val="00C03CD7"/>
    <w:rsid w:val="00C05841"/>
    <w:rsid w:val="00C65CAF"/>
    <w:rsid w:val="00C84C28"/>
    <w:rsid w:val="00CB2DBD"/>
    <w:rsid w:val="00CD5AE8"/>
    <w:rsid w:val="00CF5D5B"/>
    <w:rsid w:val="00D072FA"/>
    <w:rsid w:val="00D47E8F"/>
    <w:rsid w:val="00D50F3F"/>
    <w:rsid w:val="00D55951"/>
    <w:rsid w:val="00D83E92"/>
    <w:rsid w:val="00D937EB"/>
    <w:rsid w:val="00DA48A9"/>
    <w:rsid w:val="00DB3C4D"/>
    <w:rsid w:val="00DC351D"/>
    <w:rsid w:val="00E15BF1"/>
    <w:rsid w:val="00E250D7"/>
    <w:rsid w:val="00E85DDD"/>
    <w:rsid w:val="00EB5667"/>
    <w:rsid w:val="00EC7A71"/>
    <w:rsid w:val="00F34F45"/>
    <w:rsid w:val="00F53C48"/>
    <w:rsid w:val="00F934B2"/>
    <w:rsid w:val="00FA7F1B"/>
    <w:rsid w:val="00FD4A63"/>
    <w:rsid w:val="02810D87"/>
    <w:rsid w:val="07F55C66"/>
    <w:rsid w:val="09526CCE"/>
    <w:rsid w:val="0D023D95"/>
    <w:rsid w:val="0E945864"/>
    <w:rsid w:val="14F766D0"/>
    <w:rsid w:val="206774F2"/>
    <w:rsid w:val="34F478DB"/>
    <w:rsid w:val="4048214A"/>
    <w:rsid w:val="409B3C9E"/>
    <w:rsid w:val="414334DE"/>
    <w:rsid w:val="4D667BFD"/>
    <w:rsid w:val="51A27694"/>
    <w:rsid w:val="5261632C"/>
    <w:rsid w:val="57160F93"/>
    <w:rsid w:val="5BD415B9"/>
    <w:rsid w:val="5E124648"/>
    <w:rsid w:val="67A23AF2"/>
    <w:rsid w:val="75E61518"/>
    <w:rsid w:val="765E4A8E"/>
    <w:rsid w:val="79D16EB7"/>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9"/>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0"/>
    <w:qFormat/>
    <w:uiPriority w:val="0"/>
    <w:pPr>
      <w:keepNext/>
      <w:keepLines/>
      <w:spacing w:before="120" w:after="120"/>
      <w:outlineLvl w:val="2"/>
    </w:pPr>
    <w:rPr>
      <w:rFonts w:eastAsia="仿宋"/>
      <w:b/>
      <w:sz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2"/>
    <w:qFormat/>
    <w:uiPriority w:val="0"/>
    <w:pPr>
      <w:jc w:val="left"/>
    </w:pPr>
  </w:style>
  <w:style w:type="paragraph" w:styleId="8">
    <w:name w:val="Body Text"/>
    <w:basedOn w:val="1"/>
    <w:next w:val="1"/>
    <w:link w:val="31"/>
    <w:qFormat/>
    <w:uiPriority w:val="0"/>
    <w:pPr>
      <w:spacing w:after="120"/>
    </w:pPr>
  </w:style>
  <w:style w:type="paragraph" w:styleId="9">
    <w:name w:val="Plain Text"/>
    <w:basedOn w:val="1"/>
    <w:qFormat/>
    <w:uiPriority w:val="0"/>
    <w:rPr>
      <w:rFonts w:hAnsi="Courier New"/>
    </w:rPr>
  </w:style>
  <w:style w:type="paragraph" w:styleId="10">
    <w:name w:val="Date"/>
    <w:basedOn w:val="1"/>
    <w:next w:val="1"/>
    <w:link w:val="46"/>
    <w:semiHidden/>
    <w:unhideWhenUsed/>
    <w:qFormat/>
    <w:uiPriority w:val="99"/>
    <w:pPr>
      <w:ind w:left="100" w:leftChars="2500"/>
    </w:pPr>
  </w:style>
  <w:style w:type="paragraph" w:styleId="11">
    <w:name w:val="Body Text Indent 2"/>
    <w:basedOn w:val="1"/>
    <w:link w:val="33"/>
    <w:qFormat/>
    <w:uiPriority w:val="0"/>
    <w:pPr>
      <w:ind w:firstLine="630"/>
    </w:pPr>
    <w:rPr>
      <w:sz w:val="32"/>
    </w:rPr>
  </w:style>
  <w:style w:type="paragraph" w:styleId="12">
    <w:name w:val="Balloon Text"/>
    <w:basedOn w:val="1"/>
    <w:link w:val="51"/>
    <w:semiHidden/>
    <w:unhideWhenUsed/>
    <w:qFormat/>
    <w:uiPriority w:val="99"/>
    <w:rPr>
      <w:sz w:val="18"/>
      <w:szCs w:val="18"/>
    </w:rPr>
  </w:style>
  <w:style w:type="paragraph" w:styleId="13">
    <w:name w:val="footer"/>
    <w:basedOn w:val="1"/>
    <w:link w:val="27"/>
    <w:unhideWhenUsed/>
    <w:qFormat/>
    <w:uiPriority w:val="0"/>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0"/>
    <w:rPr>
      <w:sz w:val="28"/>
    </w:rPr>
  </w:style>
  <w:style w:type="paragraph" w:styleId="16">
    <w:name w:val="annotation subject"/>
    <w:basedOn w:val="7"/>
    <w:next w:val="7"/>
    <w:link w:val="47"/>
    <w:semiHidden/>
    <w:unhideWhenUsed/>
    <w:qFormat/>
    <w:uiPriority w:val="99"/>
    <w:rPr>
      <w:b/>
      <w:bCs/>
    </w:rPr>
  </w:style>
  <w:style w:type="paragraph" w:styleId="17">
    <w:name w:val="Body Text First Indent"/>
    <w:basedOn w:val="8"/>
    <w:link w:val="35"/>
    <w:qFormat/>
    <w:uiPriority w:val="0"/>
    <w:pPr>
      <w:spacing w:line="360" w:lineRule="auto"/>
      <w:ind w:firstLine="420"/>
    </w:pPr>
    <w:rPr>
      <w:rFonts w:ascii="宋体" w:hAnsi="宋体"/>
      <w:sz w:val="24"/>
    </w:rPr>
  </w:style>
  <w:style w:type="table" w:styleId="19">
    <w:name w:val="Table Grid"/>
    <w:basedOn w:val="1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semiHidden/>
    <w:unhideWhenUsed/>
    <w:qFormat/>
    <w:uiPriority w:val="99"/>
    <w:rPr>
      <w:sz w:val="21"/>
      <w:szCs w:val="21"/>
    </w:rPr>
  </w:style>
  <w:style w:type="paragraph" w:customStyle="1" w:styleId="23">
    <w:name w:val="标题 5（有编号）（绿盟科技）"/>
    <w:basedOn w:val="24"/>
    <w:next w:val="2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6">
    <w:name w:val="页眉 字符"/>
    <w:basedOn w:val="20"/>
    <w:link w:val="14"/>
    <w:qFormat/>
    <w:uiPriority w:val="99"/>
    <w:rPr>
      <w:sz w:val="18"/>
      <w:szCs w:val="18"/>
    </w:rPr>
  </w:style>
  <w:style w:type="character" w:customStyle="1" w:styleId="27">
    <w:name w:val="页脚 字符"/>
    <w:basedOn w:val="20"/>
    <w:link w:val="13"/>
    <w:qFormat/>
    <w:uiPriority w:val="99"/>
    <w:rPr>
      <w:sz w:val="18"/>
      <w:szCs w:val="18"/>
    </w:rPr>
  </w:style>
  <w:style w:type="character" w:customStyle="1" w:styleId="28">
    <w:name w:val="标题 1 字符"/>
    <w:basedOn w:val="20"/>
    <w:link w:val="2"/>
    <w:qFormat/>
    <w:uiPriority w:val="99"/>
    <w:rPr>
      <w:b/>
      <w:bCs/>
      <w:kern w:val="44"/>
      <w:sz w:val="44"/>
      <w:szCs w:val="44"/>
    </w:rPr>
  </w:style>
  <w:style w:type="character" w:customStyle="1" w:styleId="29">
    <w:name w:val="标题 2 字符"/>
    <w:basedOn w:val="20"/>
    <w:link w:val="3"/>
    <w:qFormat/>
    <w:uiPriority w:val="0"/>
    <w:rPr>
      <w:rFonts w:ascii="Arial" w:hAnsi="Arial" w:eastAsia="仿宋"/>
      <w:b/>
      <w:bCs/>
      <w:sz w:val="28"/>
      <w:szCs w:val="32"/>
    </w:rPr>
  </w:style>
  <w:style w:type="character" w:customStyle="1" w:styleId="30">
    <w:name w:val="标题 3 字符"/>
    <w:basedOn w:val="20"/>
    <w:link w:val="4"/>
    <w:qFormat/>
    <w:uiPriority w:val="0"/>
    <w:rPr>
      <w:rFonts w:eastAsia="仿宋"/>
      <w:b/>
      <w:sz w:val="30"/>
    </w:rPr>
  </w:style>
  <w:style w:type="character" w:customStyle="1" w:styleId="31">
    <w:name w:val="正文文本 字符"/>
    <w:basedOn w:val="20"/>
    <w:link w:val="8"/>
    <w:qFormat/>
    <w:uiPriority w:val="0"/>
  </w:style>
  <w:style w:type="character" w:customStyle="1" w:styleId="32">
    <w:name w:val="批注文字 字符"/>
    <w:basedOn w:val="20"/>
    <w:link w:val="7"/>
    <w:qFormat/>
    <w:uiPriority w:val="0"/>
  </w:style>
  <w:style w:type="character" w:customStyle="1" w:styleId="33">
    <w:name w:val="正文文本缩进 2 字符"/>
    <w:basedOn w:val="20"/>
    <w:link w:val="11"/>
    <w:qFormat/>
    <w:uiPriority w:val="0"/>
    <w:rPr>
      <w:sz w:val="32"/>
    </w:rPr>
  </w:style>
  <w:style w:type="character" w:customStyle="1" w:styleId="34">
    <w:name w:val="副标题 字符"/>
    <w:basedOn w:val="20"/>
    <w:link w:val="15"/>
    <w:qFormat/>
    <w:uiPriority w:val="0"/>
    <w:rPr>
      <w:sz w:val="28"/>
    </w:rPr>
  </w:style>
  <w:style w:type="character" w:customStyle="1" w:styleId="35">
    <w:name w:val="正文文本首行缩进 字符"/>
    <w:basedOn w:val="31"/>
    <w:link w:val="17"/>
    <w:qFormat/>
    <w:uiPriority w:val="0"/>
    <w:rPr>
      <w:rFonts w:ascii="宋体" w:hAnsi="宋体"/>
      <w:sz w:val="24"/>
    </w:rPr>
  </w:style>
  <w:style w:type="paragraph" w:customStyle="1" w:styleId="36">
    <w:name w:val="13、表格内居中正文"/>
    <w:basedOn w:val="1"/>
    <w:qFormat/>
    <w:uiPriority w:val="0"/>
    <w:pPr>
      <w:wordWrap w:val="0"/>
      <w:topLinePunct/>
      <w:spacing w:line="360" w:lineRule="exact"/>
      <w:jc w:val="center"/>
    </w:pPr>
    <w:rPr>
      <w:rFonts w:ascii="宋体" w:hAnsi="宋体" w:eastAsia="宋体"/>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列出段落1"/>
    <w:basedOn w:val="1"/>
    <w:qFormat/>
    <w:uiPriority w:val="0"/>
    <w:pPr>
      <w:ind w:firstLine="420" w:firstLineChars="200"/>
    </w:pPr>
    <w:rPr>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3">
    <w:name w:val="font31"/>
    <w:qFormat/>
    <w:uiPriority w:val="0"/>
    <w:rPr>
      <w:rFonts w:hint="eastAsia" w:ascii="宋体" w:hAnsi="宋体" w:eastAsia="宋体" w:cs="宋体"/>
      <w:b/>
      <w:color w:val="000000"/>
      <w:sz w:val="22"/>
      <w:szCs w:val="22"/>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81"/>
    <w:qFormat/>
    <w:uiPriority w:val="0"/>
    <w:rPr>
      <w:rFonts w:hint="eastAsia" w:ascii="宋体" w:hAnsi="宋体" w:eastAsia="宋体" w:cs="宋体"/>
      <w:b/>
      <w:color w:val="000000"/>
      <w:sz w:val="22"/>
      <w:szCs w:val="22"/>
      <w:u w:val="none"/>
    </w:rPr>
  </w:style>
  <w:style w:type="character" w:customStyle="1" w:styleId="46">
    <w:name w:val="日期 字符"/>
    <w:basedOn w:val="20"/>
    <w:link w:val="10"/>
    <w:semiHidden/>
    <w:qFormat/>
    <w:uiPriority w:val="99"/>
    <w:rPr>
      <w:kern w:val="2"/>
      <w:sz w:val="21"/>
      <w:szCs w:val="22"/>
    </w:rPr>
  </w:style>
  <w:style w:type="character" w:customStyle="1" w:styleId="47">
    <w:name w:val="批注主题 字符"/>
    <w:basedOn w:val="32"/>
    <w:link w:val="16"/>
    <w:semiHidden/>
    <w:qFormat/>
    <w:uiPriority w:val="99"/>
    <w:rPr>
      <w:b/>
      <w:bCs/>
      <w:kern w:val="2"/>
      <w:sz w:val="21"/>
      <w:szCs w:val="22"/>
    </w:rPr>
  </w:style>
  <w:style w:type="paragraph" w:customStyle="1" w:styleId="48">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49">
    <w:name w:val="List Paragraph1"/>
    <w:basedOn w:val="1"/>
    <w:qFormat/>
    <w:uiPriority w:val="99"/>
    <w:pPr>
      <w:ind w:firstLine="420" w:firstLineChars="200"/>
    </w:pPr>
    <w:rPr>
      <w:rFonts w:ascii="Times New Roman"/>
      <w:szCs w:val="34"/>
    </w:rPr>
  </w:style>
  <w:style w:type="paragraph" w:styleId="50">
    <w:name w:val="List Paragraph"/>
    <w:basedOn w:val="1"/>
    <w:qFormat/>
    <w:uiPriority w:val="0"/>
    <w:pPr>
      <w:ind w:firstLine="420" w:firstLineChars="200"/>
    </w:pPr>
    <w:rPr>
      <w:rFonts w:ascii="Times New Roman"/>
      <w:sz w:val="18"/>
      <w:szCs w:val="18"/>
    </w:rPr>
  </w:style>
  <w:style w:type="character" w:customStyle="1" w:styleId="51">
    <w:name w:val="批注框文本 字符"/>
    <w:basedOn w:val="20"/>
    <w:link w:val="1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24C86-6A64-45B8-8FB0-FF847D620337}">
  <ds:schemaRefs/>
</ds:datastoreItem>
</file>

<file path=docProps/app.xml><?xml version="1.0" encoding="utf-8"?>
<Properties xmlns="http://schemas.openxmlformats.org/officeDocument/2006/extended-properties" xmlns:vt="http://schemas.openxmlformats.org/officeDocument/2006/docPropsVTypes">
  <Template>Normal</Template>
  <Pages>32</Pages>
  <Words>2267</Words>
  <Characters>12922</Characters>
  <Lines>107</Lines>
  <Paragraphs>30</Paragraphs>
  <TotalTime>51</TotalTime>
  <ScaleCrop>false</ScaleCrop>
  <LinksUpToDate>false</LinksUpToDate>
  <CharactersWithSpaces>15159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2023-10-12T02:54:00Z</dcterms:created>
  <dc:creator>wang mingfu</dc:creator>
  <cp:lastModifiedBy>Administrator</cp:lastModifiedBy>
  <dcterms:modified xsi:type="dcterms:W3CDTF">2023-10-13T02:12:53Z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BF2B1A6616854115B3000DA7DCFEEF67</vt:lpwstr>
  </property>
</Properties>
</file>